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B5F000" w14:textId="77777777" w:rsidR="00A12B13" w:rsidRDefault="00000000">
      <w:pPr>
        <w:pStyle w:val="Heading1"/>
        <w:spacing w:before="400" w:after="200"/>
      </w:pPr>
      <w:r>
        <w:t>Canadian Citizenship Existed Before 1947</w:t>
      </w:r>
    </w:p>
    <w:p w14:paraId="21C4E3ED" w14:textId="77777777" w:rsidR="00A12B13" w:rsidRDefault="00000000">
      <w:pPr>
        <w:spacing w:after="120"/>
      </w:pPr>
      <w:r>
        <w:rPr>
          <w:b/>
          <w:bCs/>
        </w:rPr>
        <w:t>A one-page summary prepared for Members of Parliament and Senators</w:t>
      </w:r>
    </w:p>
    <w:p w14:paraId="1968D038" w14:textId="77777777" w:rsidR="00A12B13" w:rsidRDefault="00000000">
      <w:pPr>
        <w:pStyle w:val="Heading2"/>
        <w:spacing w:before="300" w:after="150"/>
      </w:pPr>
      <w:r>
        <w:t>The Argument in Brief</w:t>
      </w:r>
    </w:p>
    <w:p w14:paraId="6508B501" w14:textId="77777777" w:rsidR="00A12B13" w:rsidRDefault="00000000">
      <w:pPr>
        <w:spacing w:after="120"/>
      </w:pPr>
      <w:r>
        <w:t>Canadian citizenship was not created by the Canadian Citizenship Act, 1946. That Act codified a status that already existed — in law, in the courts, in executive practice, and in the lived experience of Canadians who served, paid taxes, voted, and died for this country before January 1, 1947.</w:t>
      </w:r>
    </w:p>
    <w:p w14:paraId="1A14DE34" w14:textId="77777777" w:rsidR="00A12B13" w:rsidRDefault="00000000">
      <w:pPr>
        <w:spacing w:after="120"/>
      </w:pPr>
      <w:r>
        <w:t>The evidence is drawn entirely from primary sources: statutes, Hansard, Orders in Council, court decisions, and government publications.</w:t>
      </w:r>
    </w:p>
    <w:p w14:paraId="2D9D2784" w14:textId="77777777" w:rsidR="00A12B13" w:rsidRDefault="00000000">
      <w:pPr>
        <w:pStyle w:val="Heading2"/>
        <w:spacing w:before="300" w:after="150"/>
      </w:pPr>
      <w:r>
        <w:t xml:space="preserve">The Evidence </w:t>
      </w:r>
      <w:proofErr w:type="gramStart"/>
      <w:r>
        <w:t>at a Glance</w:t>
      </w:r>
      <w:proofErr w:type="gramEnd"/>
    </w:p>
    <w:p w14:paraId="0101B665" w14:textId="77777777" w:rsidR="00A12B13" w:rsidRDefault="00000000">
      <w:pPr>
        <w:spacing w:after="120"/>
      </w:pPr>
      <w:r>
        <w:rPr>
          <w:b/>
          <w:bCs/>
        </w:rPr>
        <w:t>Legislative</w:t>
      </w:r>
    </w:p>
    <w:p w14:paraId="39BEE016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The Canadian Nationals Act, 1921 declared Canadian nationality and citizenship synonymous.</w:t>
      </w:r>
    </w:p>
    <w:p w14:paraId="6AA789F3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Section 41 of the Immigration Act, 1910 (as amended 1919) conferred immunity from deportation on Canadian citizens.</w:t>
      </w:r>
    </w:p>
    <w:p w14:paraId="38643267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The first recorded use of "citizenship" in Canadian legislation appears in the 1871 Hansard debate on Bill No. 12.</w:t>
      </w:r>
    </w:p>
    <w:p w14:paraId="76EE6E4F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Conscription statutes in both World Wars distinguished between British subjects and Canadian citizens.</w:t>
      </w:r>
    </w:p>
    <w:p w14:paraId="340AC52F" w14:textId="77777777" w:rsidR="00A12B13" w:rsidRDefault="00000000">
      <w:pPr>
        <w:spacing w:after="120"/>
      </w:pPr>
      <w:r>
        <w:rPr>
          <w:b/>
          <w:bCs/>
        </w:rPr>
        <w:t>Judicial</w:t>
      </w:r>
    </w:p>
    <w:p w14:paraId="1C3B78EA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</w:rPr>
        <w:t>Shin Shim v. The King</w:t>
      </w:r>
      <w:r>
        <w:t xml:space="preserve"> (SCC, 1938): Canadian-born Chinese children were citizens by birth and exempt from the Chinese head tax.</w:t>
      </w:r>
    </w:p>
    <w:p w14:paraId="309A5E82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</w:rPr>
        <w:t>Reference re Alberta Statutes</w:t>
      </w:r>
      <w:r>
        <w:t xml:space="preserve"> (SCC, 1938), Justice Cannon: citizenship is rooted in the preamble to the B.N.A. Act, 1867.</w:t>
      </w:r>
    </w:p>
    <w:p w14:paraId="2D286F3A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rPr>
          <w:i/>
          <w:iCs/>
        </w:rPr>
        <w:t>Edwards v. A.G. of Canada</w:t>
      </w:r>
      <w:r>
        <w:t>: the "living tree" doctrine confirms the Constitution recognizes evolving institutions — including citizenship.</w:t>
      </w:r>
    </w:p>
    <w:p w14:paraId="033FE149" w14:textId="77777777" w:rsidR="00A12B13" w:rsidRDefault="00000000">
      <w:pPr>
        <w:spacing w:after="120"/>
      </w:pPr>
      <w:r>
        <w:rPr>
          <w:b/>
          <w:bCs/>
        </w:rPr>
        <w:t>Executive</w:t>
      </w:r>
    </w:p>
    <w:p w14:paraId="44B25F7F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Privy Council Order 7318 (September 21, 1944): citizenship transmitted to dependents.</w:t>
      </w:r>
    </w:p>
    <w:p w14:paraId="0A066AE7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P.C. 1945-858: citizenship transmitted to children born abroad.</w:t>
      </w:r>
    </w:p>
    <w:p w14:paraId="333FC948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Mackenzie King's 1908 report to British authorities treated Canadian citizenship as a settled status with attendant obligations.</w:t>
      </w:r>
    </w:p>
    <w:p w14:paraId="31198CD3" w14:textId="77777777" w:rsidR="00A12B13" w:rsidRDefault="00000000">
      <w:pPr>
        <w:spacing w:after="120"/>
      </w:pPr>
      <w:r>
        <w:rPr>
          <w:b/>
          <w:bCs/>
        </w:rPr>
        <w:t>Administrative</w:t>
      </w:r>
    </w:p>
    <w:p w14:paraId="3C3C40F0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The 1941 census administration report recorded Canadian citizenship.</w:t>
      </w:r>
    </w:p>
    <w:p w14:paraId="6E93F932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 xml:space="preserve">The 1942 government publication </w:t>
      </w:r>
      <w:r>
        <w:rPr>
          <w:i/>
          <w:iCs/>
        </w:rPr>
        <w:t>Battle of Brains: Canadian Citizenship and the Issues of War</w:t>
      </w:r>
      <w:r>
        <w:t xml:space="preserve"> used the term as settled law.</w:t>
      </w:r>
    </w:p>
    <w:p w14:paraId="3DCBF457" w14:textId="77777777" w:rsidR="00A12B13" w:rsidRDefault="00000000">
      <w:pPr>
        <w:pStyle w:val="ListParagraph"/>
        <w:numPr>
          <w:ilvl w:val="0"/>
          <w:numId w:val="1"/>
        </w:numPr>
        <w:spacing w:after="60"/>
      </w:pPr>
      <w:r>
        <w:t>A 1946 pamphlet issued to war brides stated that completing immigration formalities "automatically makes you a Canadian citizen."</w:t>
      </w:r>
    </w:p>
    <w:p w14:paraId="54698D23" w14:textId="77777777" w:rsidR="00A12B13" w:rsidRDefault="00000000">
      <w:pPr>
        <w:pStyle w:val="Heading2"/>
        <w:spacing w:before="300" w:after="150"/>
      </w:pPr>
      <w:r>
        <w:t>Why This Matters</w:t>
      </w:r>
    </w:p>
    <w:p w14:paraId="70586841" w14:textId="77777777" w:rsidR="00A12B13" w:rsidRDefault="00000000">
      <w:pPr>
        <w:spacing w:after="120"/>
      </w:pPr>
      <w:r>
        <w:lastRenderedPageBreak/>
        <w:t xml:space="preserve">The 1946 Act's commencement date of January 1, </w:t>
      </w:r>
      <w:proofErr w:type="gramStart"/>
      <w:r>
        <w:t>1947</w:t>
      </w:r>
      <w:proofErr w:type="gramEnd"/>
      <w:r>
        <w:t xml:space="preserve"> has been used to deny citizenship to Canadians — including veterans, Chinese Canadians, Japanese Canadians, and Indigenous peoples — whose status predates that date. The government's interpretation converts a codification into a confiscation.</w:t>
      </w:r>
    </w:p>
    <w:p w14:paraId="0AA47F13" w14:textId="77777777" w:rsidR="00A12B13" w:rsidRDefault="00000000">
      <w:pPr>
        <w:pStyle w:val="Heading2"/>
        <w:spacing w:before="300" w:after="150"/>
      </w:pPr>
      <w:r>
        <w:t>What We Seek</w:t>
      </w:r>
    </w:p>
    <w:p w14:paraId="63ABC04F" w14:textId="77777777" w:rsidR="00A12B13" w:rsidRDefault="00000000">
      <w:pPr>
        <w:spacing w:after="120"/>
      </w:pPr>
      <w:r>
        <w:t>A declaratory resolution of Parliament recognizing that Canadian citizenship, and the legal rights associated with it, existed before January 1, 1947.</w:t>
      </w:r>
    </w:p>
    <w:p w14:paraId="4EFD90AF" w14:textId="77777777" w:rsidR="00A12B13" w:rsidRDefault="00000000">
      <w:pPr>
        <w:spacing w:after="120"/>
      </w:pPr>
      <w:r>
        <w:rPr>
          <w:i/>
          <w:iCs/>
        </w:rPr>
        <w:t>Full documentation, with footnotes and primary-source verification, is available in the accompanying memorandum.</w:t>
      </w:r>
    </w:p>
    <w:sectPr w:rsidR="00A12B13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9FE68EF"/>
    <w:multiLevelType w:val="hybridMultilevel"/>
    <w:tmpl w:val="D6389FD2"/>
    <w:lvl w:ilvl="0" w:tplc="D5C22916">
      <w:start w:val="1"/>
      <w:numFmt w:val="decimal"/>
      <w:lvlText w:val="%1."/>
      <w:lvlJc w:val="left"/>
      <w:pPr>
        <w:ind w:left="720" w:hanging="360"/>
      </w:pPr>
    </w:lvl>
    <w:lvl w:ilvl="1" w:tplc="84729482">
      <w:start w:val="1"/>
      <w:numFmt w:val="decimal"/>
      <w:lvlText w:val="%2."/>
      <w:lvlJc w:val="left"/>
      <w:pPr>
        <w:ind w:left="1440" w:hanging="360"/>
      </w:pPr>
    </w:lvl>
    <w:lvl w:ilvl="2" w:tplc="DFB0E526">
      <w:start w:val="1"/>
      <w:numFmt w:val="decimal"/>
      <w:lvlText w:val="%3."/>
      <w:lvlJc w:val="left"/>
      <w:pPr>
        <w:ind w:left="2160" w:hanging="360"/>
      </w:pPr>
    </w:lvl>
    <w:lvl w:ilvl="3" w:tplc="7500DEF8">
      <w:start w:val="1"/>
      <w:numFmt w:val="decimal"/>
      <w:lvlText w:val="%4."/>
      <w:lvlJc w:val="left"/>
      <w:pPr>
        <w:ind w:left="2880" w:hanging="360"/>
      </w:pPr>
    </w:lvl>
    <w:lvl w:ilvl="4" w:tplc="742AD610">
      <w:start w:val="1"/>
      <w:numFmt w:val="decimal"/>
      <w:lvlText w:val="%5."/>
      <w:lvlJc w:val="left"/>
      <w:pPr>
        <w:ind w:left="3600" w:hanging="360"/>
      </w:pPr>
    </w:lvl>
    <w:lvl w:ilvl="5" w:tplc="BC44295E">
      <w:numFmt w:val="decimal"/>
      <w:lvlText w:val=""/>
      <w:lvlJc w:val="left"/>
    </w:lvl>
    <w:lvl w:ilvl="6" w:tplc="7F2AE9CC">
      <w:numFmt w:val="decimal"/>
      <w:lvlText w:val=""/>
      <w:lvlJc w:val="left"/>
    </w:lvl>
    <w:lvl w:ilvl="7" w:tplc="BFA25BA4">
      <w:numFmt w:val="decimal"/>
      <w:lvlText w:val=""/>
      <w:lvlJc w:val="left"/>
    </w:lvl>
    <w:lvl w:ilvl="8" w:tplc="0EC046AE">
      <w:numFmt w:val="decimal"/>
      <w:lvlText w:val=""/>
      <w:lvlJc w:val="left"/>
    </w:lvl>
  </w:abstractNum>
  <w:abstractNum w:abstractNumId="1" w15:restartNumberingAfterBreak="0">
    <w:nsid w:val="3FB00204"/>
    <w:multiLevelType w:val="hybridMultilevel"/>
    <w:tmpl w:val="18DE5250"/>
    <w:lvl w:ilvl="0" w:tplc="462C78A0">
      <w:start w:val="1"/>
      <w:numFmt w:val="bullet"/>
      <w:lvlText w:val="●"/>
      <w:lvlJc w:val="left"/>
      <w:pPr>
        <w:ind w:left="720" w:hanging="360"/>
      </w:pPr>
    </w:lvl>
    <w:lvl w:ilvl="1" w:tplc="38A46766">
      <w:start w:val="1"/>
      <w:numFmt w:val="bullet"/>
      <w:lvlText w:val="○"/>
      <w:lvlJc w:val="left"/>
      <w:pPr>
        <w:ind w:left="1440" w:hanging="360"/>
      </w:pPr>
    </w:lvl>
    <w:lvl w:ilvl="2" w:tplc="1AE8B7DC">
      <w:start w:val="1"/>
      <w:numFmt w:val="bullet"/>
      <w:lvlText w:val="■"/>
      <w:lvlJc w:val="left"/>
      <w:pPr>
        <w:ind w:left="2160" w:hanging="360"/>
      </w:pPr>
    </w:lvl>
    <w:lvl w:ilvl="3" w:tplc="222A2BAC">
      <w:start w:val="1"/>
      <w:numFmt w:val="bullet"/>
      <w:lvlText w:val="●"/>
      <w:lvlJc w:val="left"/>
      <w:pPr>
        <w:ind w:left="2880" w:hanging="360"/>
      </w:pPr>
    </w:lvl>
    <w:lvl w:ilvl="4" w:tplc="F3A21C32">
      <w:start w:val="1"/>
      <w:numFmt w:val="bullet"/>
      <w:lvlText w:val="○"/>
      <w:lvlJc w:val="left"/>
      <w:pPr>
        <w:ind w:left="3600" w:hanging="360"/>
      </w:pPr>
    </w:lvl>
    <w:lvl w:ilvl="5" w:tplc="2FB69F3C">
      <w:start w:val="1"/>
      <w:numFmt w:val="bullet"/>
      <w:lvlText w:val="■"/>
      <w:lvlJc w:val="left"/>
      <w:pPr>
        <w:ind w:left="4320" w:hanging="360"/>
      </w:pPr>
    </w:lvl>
    <w:lvl w:ilvl="6" w:tplc="721C2C78">
      <w:start w:val="1"/>
      <w:numFmt w:val="bullet"/>
      <w:lvlText w:val="●"/>
      <w:lvlJc w:val="left"/>
      <w:pPr>
        <w:ind w:left="5040" w:hanging="360"/>
      </w:pPr>
    </w:lvl>
    <w:lvl w:ilvl="7" w:tplc="6074D69A">
      <w:start w:val="1"/>
      <w:numFmt w:val="bullet"/>
      <w:lvlText w:val="●"/>
      <w:lvlJc w:val="left"/>
      <w:pPr>
        <w:ind w:left="5760" w:hanging="360"/>
      </w:pPr>
    </w:lvl>
    <w:lvl w:ilvl="8" w:tplc="63FE919C">
      <w:start w:val="1"/>
      <w:numFmt w:val="bullet"/>
      <w:lvlText w:val="●"/>
      <w:lvlJc w:val="left"/>
      <w:pPr>
        <w:ind w:left="6480" w:hanging="360"/>
      </w:pPr>
    </w:lvl>
  </w:abstractNum>
  <w:num w:numId="1" w16cid:durableId="52652594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72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B13"/>
    <w:rsid w:val="00793ED1"/>
    <w:rsid w:val="00A12B13"/>
    <w:rsid w:val="00CD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DC191DF"/>
  <w15:docId w15:val="{AD9453B6-CBBD-634B-9385-5DF0F094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416</Words>
  <Characters>2218</Characters>
  <Application>Microsoft Office Word</Application>
  <DocSecurity>0</DocSecurity>
  <Lines>42</Lines>
  <Paragraphs>11</Paragraphs>
  <ScaleCrop>false</ScaleCrop>
  <Company/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Don Chapman</cp:lastModifiedBy>
  <cp:revision>2</cp:revision>
  <dcterms:created xsi:type="dcterms:W3CDTF">2026-09-08T20:27:00Z</dcterms:created>
  <dcterms:modified xsi:type="dcterms:W3CDTF">2026-09-08T20:27:00Z</dcterms:modified>
</cp:coreProperties>
</file>