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79A563A" w14:textId="700C3517" w:rsidR="00C02C6F" w:rsidRPr="00C02C6F" w:rsidRDefault="00C02C6F" w:rsidP="00C02C6F">
      <w:pPr>
        <w:autoSpaceDE w:val="0"/>
        <w:autoSpaceDN w:val="0"/>
        <w:adjustRightInd w:val="0"/>
        <w:spacing w:after="240"/>
        <w:jc w:val="center"/>
        <w:rPr>
          <w:rFonts w:ascii="Times New Roman" w:hAnsi="Times New Roman" w:cs="Times New Roman"/>
          <w:b/>
          <w:bCs/>
          <w:sz w:val="27"/>
          <w:szCs w:val="27"/>
          <w:lang w:val="en-US"/>
        </w:rPr>
      </w:pPr>
      <w:r w:rsidRPr="00C02C6F">
        <w:rPr>
          <w:rFonts w:ascii="Times New Roman" w:hAnsi="Times New Roman" w:cs="Times New Roman"/>
          <w:b/>
          <w:bCs/>
          <w:sz w:val="27"/>
          <w:szCs w:val="27"/>
          <w:lang w:val="en-US"/>
        </w:rPr>
        <w:t>STATUTORY DECLARATORY RESOLUTION</w:t>
      </w:r>
    </w:p>
    <w:p w14:paraId="0D099519" w14:textId="5B214338" w:rsidR="00C02C6F" w:rsidRDefault="00C02C6F" w:rsidP="00146A1F">
      <w:pPr>
        <w:pBdr>
          <w:bottom w:val="single" w:sz="12" w:space="1" w:color="auto"/>
        </w:pBdr>
        <w:spacing w:after="240"/>
        <w:jc w:val="center"/>
        <w:rPr>
          <w:rFonts w:ascii="Times New Roman" w:hAnsi="Times New Roman" w:cs="Times New Roman"/>
          <w:b/>
          <w:bCs/>
          <w:sz w:val="24"/>
          <w:szCs w:val="24"/>
          <w:lang w:val="en-US"/>
        </w:rPr>
      </w:pPr>
      <w:r w:rsidRPr="00C02C6F">
        <w:rPr>
          <w:rFonts w:ascii="Times New Roman" w:hAnsi="Times New Roman" w:cs="Times New Roman"/>
          <w:b/>
          <w:bCs/>
          <w:sz w:val="24"/>
          <w:szCs w:val="24"/>
          <w:lang w:val="en-US"/>
        </w:rPr>
        <w:t>PROPOSED FOR CONSIDERATION BY THE PARLIAMENT OF CANADA</w:t>
      </w:r>
    </w:p>
    <w:p w14:paraId="4331E459" w14:textId="44E5BCD9" w:rsidR="00146A1F" w:rsidRPr="00C02C6F" w:rsidRDefault="00146A1F" w:rsidP="00146A1F">
      <w:pPr>
        <w:pBdr>
          <w:bottom w:val="single" w:sz="12" w:space="1" w:color="auto"/>
        </w:pBdr>
        <w:spacing w:after="240"/>
        <w:jc w:val="center"/>
        <w:rPr>
          <w:rFonts w:ascii="Times New Roman" w:hAnsi="Times New Roman" w:cs="Times New Roman"/>
          <w:b/>
          <w:bCs/>
          <w:sz w:val="24"/>
          <w:szCs w:val="24"/>
          <w:lang w:val="en-US"/>
        </w:rPr>
      </w:pPr>
    </w:p>
    <w:p w14:paraId="2C66B551" w14:textId="77777777" w:rsidR="00146A1F" w:rsidRDefault="00146A1F" w:rsidP="00C02C6F">
      <w:pPr>
        <w:spacing w:after="240"/>
        <w:rPr>
          <w:rFonts w:ascii="Times New Roman" w:hAnsi="Times New Roman" w:cs="Times New Roman"/>
          <w:b/>
          <w:bCs/>
          <w:color w:val="000000" w:themeColor="text1"/>
        </w:rPr>
      </w:pPr>
    </w:p>
    <w:p w14:paraId="79486E67" w14:textId="3C8A9AF0" w:rsidR="00C02C6F" w:rsidRPr="00146A1F" w:rsidRDefault="00C02C6F" w:rsidP="00C02C6F">
      <w:pPr>
        <w:spacing w:after="240"/>
        <w:rPr>
          <w:rFonts w:ascii="Times New Roman" w:hAnsi="Times New Roman" w:cs="Times New Roman"/>
          <w:color w:val="000000" w:themeColor="text1"/>
        </w:rPr>
      </w:pPr>
      <w:r w:rsidRPr="00146A1F">
        <w:rPr>
          <w:rFonts w:ascii="Times New Roman" w:hAnsi="Times New Roman" w:cs="Times New Roman"/>
          <w:b/>
          <w:bCs/>
          <w:color w:val="000000" w:themeColor="text1"/>
        </w:rPr>
        <w:t>WHEREAS</w:t>
      </w:r>
      <w:r w:rsidRPr="00146A1F">
        <w:rPr>
          <w:rFonts w:ascii="Times New Roman" w:hAnsi="Times New Roman" w:cs="Times New Roman"/>
          <w:color w:val="000000" w:themeColor="text1"/>
        </w:rPr>
        <w:t xml:space="preserve"> the Honour of the Crown requires fidelity to the </w:t>
      </w:r>
      <w:r w:rsidR="00146A1F" w:rsidRPr="00146A1F">
        <w:rPr>
          <w:rFonts w:ascii="Times New Roman" w:hAnsi="Times New Roman" w:cs="Times New Roman"/>
          <w:color w:val="000000" w:themeColor="text1"/>
        </w:rPr>
        <w:t>promises</w:t>
      </w:r>
      <w:r w:rsidRPr="00146A1F">
        <w:rPr>
          <w:rFonts w:ascii="Times New Roman" w:hAnsi="Times New Roman" w:cs="Times New Roman"/>
          <w:color w:val="000000" w:themeColor="text1"/>
        </w:rPr>
        <w:t xml:space="preserve"> made to those who served, suffered, and died under the Canadian flag;</w:t>
      </w:r>
    </w:p>
    <w:p w14:paraId="315BFCC0" w14:textId="46F9D40A" w:rsidR="0051286A" w:rsidRPr="00146A1F" w:rsidRDefault="00000000" w:rsidP="00C02C6F">
      <w:pPr>
        <w:spacing w:after="240"/>
        <w:rPr>
          <w:rFonts w:ascii="Times New Roman" w:hAnsi="Times New Roman" w:cs="Times New Roman"/>
          <w:color w:val="000000" w:themeColor="text1"/>
        </w:rPr>
      </w:pPr>
      <w:r w:rsidRPr="00146A1F">
        <w:rPr>
          <w:rFonts w:ascii="Times New Roman" w:hAnsi="Times New Roman" w:cs="Times New Roman"/>
          <w:b/>
          <w:bCs/>
          <w:color w:val="000000" w:themeColor="text1"/>
        </w:rPr>
        <w:t>WHEREAS</w:t>
      </w:r>
      <w:r w:rsidRPr="00146A1F">
        <w:rPr>
          <w:rFonts w:ascii="Times New Roman" w:hAnsi="Times New Roman" w:cs="Times New Roman"/>
          <w:color w:val="000000" w:themeColor="text1"/>
        </w:rPr>
        <w:t xml:space="preserve"> the historical, legislative, administrative, and judicial records of Canada demonstrate that Canadian citizenship and nationality existed as a rights-bearing legal status within the Canadian body politic from the time of Confederation forward;</w:t>
      </w:r>
    </w:p>
    <w:p w14:paraId="30FC1111" w14:textId="77777777" w:rsidR="0051286A" w:rsidRPr="00146A1F" w:rsidRDefault="00000000" w:rsidP="00C02C6F">
      <w:pPr>
        <w:spacing w:after="240"/>
        <w:rPr>
          <w:rFonts w:ascii="Times New Roman" w:hAnsi="Times New Roman" w:cs="Times New Roman"/>
          <w:color w:val="000000" w:themeColor="text1"/>
        </w:rPr>
      </w:pPr>
      <w:r w:rsidRPr="00146A1F">
        <w:rPr>
          <w:rFonts w:ascii="Times New Roman" w:hAnsi="Times New Roman" w:cs="Times New Roman"/>
          <w:b/>
          <w:bCs/>
          <w:color w:val="000000" w:themeColor="text1"/>
        </w:rPr>
        <w:t>WHEREAS</w:t>
      </w:r>
      <w:r w:rsidRPr="00146A1F">
        <w:rPr>
          <w:rFonts w:ascii="Times New Roman" w:hAnsi="Times New Roman" w:cs="Times New Roman"/>
          <w:color w:val="000000" w:themeColor="text1"/>
        </w:rPr>
        <w:t xml:space="preserve"> the Supreme Court of Canada and the Attorney General of Canada have formally recognized that inhabitants of the Dominion held full citizenship within the Canadian Confederation as early as 1870;</w:t>
      </w:r>
    </w:p>
    <w:p w14:paraId="51277F4F" w14:textId="77777777" w:rsidR="0051286A" w:rsidRPr="00146A1F" w:rsidRDefault="00000000" w:rsidP="00C02C6F">
      <w:pPr>
        <w:spacing w:after="240"/>
        <w:rPr>
          <w:rFonts w:ascii="Times New Roman" w:hAnsi="Times New Roman" w:cs="Times New Roman"/>
          <w:color w:val="000000" w:themeColor="text1"/>
        </w:rPr>
      </w:pPr>
      <w:r w:rsidRPr="00146A1F">
        <w:rPr>
          <w:rFonts w:ascii="Times New Roman" w:hAnsi="Times New Roman" w:cs="Times New Roman"/>
          <w:b/>
          <w:bCs/>
          <w:color w:val="000000" w:themeColor="text1"/>
        </w:rPr>
        <w:t>WHEREAS</w:t>
      </w:r>
      <w:r w:rsidRPr="00146A1F">
        <w:rPr>
          <w:rFonts w:ascii="Times New Roman" w:hAnsi="Times New Roman" w:cs="Times New Roman"/>
          <w:color w:val="000000" w:themeColor="text1"/>
        </w:rPr>
        <w:t xml:space="preserve"> the state's own wartime executive orders, census enumerations, and official casualty records consistently affirmed that Canadian soldiers, war brides, and residents possessed a distinct Canadian citizenship prior to 1947;</w:t>
      </w:r>
    </w:p>
    <w:p w14:paraId="734BD423" w14:textId="77777777" w:rsidR="0051286A" w:rsidRPr="00146A1F" w:rsidRDefault="00000000" w:rsidP="00C02C6F">
      <w:pPr>
        <w:spacing w:after="240"/>
        <w:rPr>
          <w:rFonts w:ascii="Times New Roman" w:hAnsi="Times New Roman" w:cs="Times New Roman"/>
          <w:color w:val="000000" w:themeColor="text1"/>
        </w:rPr>
      </w:pPr>
      <w:r w:rsidRPr="00146A1F">
        <w:rPr>
          <w:rFonts w:ascii="Times New Roman" w:hAnsi="Times New Roman" w:cs="Times New Roman"/>
          <w:b/>
          <w:bCs/>
          <w:color w:val="000000" w:themeColor="text1"/>
        </w:rPr>
        <w:t>WHEREAS</w:t>
      </w:r>
      <w:r w:rsidRPr="00146A1F">
        <w:rPr>
          <w:rFonts w:ascii="Times New Roman" w:hAnsi="Times New Roman" w:cs="Times New Roman"/>
          <w:color w:val="000000" w:themeColor="text1"/>
        </w:rPr>
        <w:t xml:space="preserve"> Parliament itself affirmed this understanding in the 1929 debate on Canadian nationality, and the Prime Minister acknowledged at the January 3, </w:t>
      </w:r>
      <w:proofErr w:type="gramStart"/>
      <w:r w:rsidRPr="00146A1F">
        <w:rPr>
          <w:rFonts w:ascii="Times New Roman" w:hAnsi="Times New Roman" w:cs="Times New Roman"/>
          <w:color w:val="000000" w:themeColor="text1"/>
        </w:rPr>
        <w:t>1947</w:t>
      </w:r>
      <w:proofErr w:type="gramEnd"/>
      <w:r w:rsidRPr="00146A1F">
        <w:rPr>
          <w:rFonts w:ascii="Times New Roman" w:hAnsi="Times New Roman" w:cs="Times New Roman"/>
          <w:color w:val="000000" w:themeColor="text1"/>
        </w:rPr>
        <w:t xml:space="preserve"> ceremony that many present had "enjoyed those rights all our lives";</w:t>
      </w:r>
    </w:p>
    <w:p w14:paraId="3F1625C5" w14:textId="77777777" w:rsidR="0051286A" w:rsidRPr="00146A1F" w:rsidRDefault="00000000" w:rsidP="00C02C6F">
      <w:pPr>
        <w:spacing w:after="240"/>
        <w:rPr>
          <w:rFonts w:ascii="Times New Roman" w:hAnsi="Times New Roman" w:cs="Times New Roman"/>
          <w:color w:val="000000" w:themeColor="text1"/>
        </w:rPr>
      </w:pPr>
      <w:r w:rsidRPr="00146A1F">
        <w:rPr>
          <w:rFonts w:ascii="Times New Roman" w:hAnsi="Times New Roman" w:cs="Times New Roman"/>
          <w:b/>
          <w:bCs/>
          <w:color w:val="000000" w:themeColor="text1"/>
        </w:rPr>
        <w:t>WHEREAS</w:t>
      </w:r>
      <w:r w:rsidRPr="00146A1F">
        <w:rPr>
          <w:rFonts w:ascii="Times New Roman" w:hAnsi="Times New Roman" w:cs="Times New Roman"/>
          <w:color w:val="000000" w:themeColor="text1"/>
        </w:rPr>
        <w:t xml:space="preserve"> the prevailing narrative that Canadian citizenship was created on January 1, </w:t>
      </w:r>
      <w:proofErr w:type="gramStart"/>
      <w:r w:rsidRPr="00146A1F">
        <w:rPr>
          <w:rFonts w:ascii="Times New Roman" w:hAnsi="Times New Roman" w:cs="Times New Roman"/>
          <w:color w:val="000000" w:themeColor="text1"/>
        </w:rPr>
        <w:t>1947</w:t>
      </w:r>
      <w:proofErr w:type="gramEnd"/>
      <w:r w:rsidRPr="00146A1F">
        <w:rPr>
          <w:rFonts w:ascii="Times New Roman" w:hAnsi="Times New Roman" w:cs="Times New Roman"/>
          <w:color w:val="000000" w:themeColor="text1"/>
        </w:rPr>
        <w:t xml:space="preserve"> has contributed to a mistaken public understanding of the status rightfully held by Canada's war dead, Chinese Canadians, Indigenous peoples, Japanese Canadians, and others;</w:t>
      </w:r>
    </w:p>
    <w:p w14:paraId="4FB3D55A" w14:textId="3C5C8EE6" w:rsidR="0051286A" w:rsidRPr="00146A1F" w:rsidRDefault="00146A1F" w:rsidP="00146A1F">
      <w:pPr>
        <w:spacing w:after="240"/>
        <w:jc w:val="center"/>
        <w:rPr>
          <w:rFonts w:ascii="Times New Roman" w:hAnsi="Times New Roman" w:cs="Times New Roman"/>
          <w:color w:val="000000" w:themeColor="text1"/>
        </w:rPr>
      </w:pPr>
      <w:r w:rsidRPr="00146A1F">
        <w:rPr>
          <w:rFonts w:ascii="Times New Roman" w:hAnsi="Times New Roman" w:cs="Times New Roman"/>
          <w:b/>
          <w:bCs/>
          <w:color w:val="000000" w:themeColor="text1"/>
        </w:rPr>
        <w:t>NOW THEREFORE, BE IT RESOLVED THAT PARLIAMENT DECLARE:</w:t>
      </w:r>
    </w:p>
    <w:p w14:paraId="410CAEEB" w14:textId="77777777" w:rsidR="0051286A" w:rsidRPr="00146A1F" w:rsidRDefault="00000000" w:rsidP="00C02C6F">
      <w:pPr>
        <w:spacing w:after="240"/>
        <w:rPr>
          <w:rFonts w:ascii="Times New Roman" w:hAnsi="Times New Roman" w:cs="Times New Roman"/>
          <w:color w:val="000000" w:themeColor="text1"/>
        </w:rPr>
      </w:pPr>
      <w:r w:rsidRPr="00146A1F">
        <w:rPr>
          <w:rFonts w:ascii="Times New Roman" w:hAnsi="Times New Roman" w:cs="Times New Roman"/>
          <w:b/>
          <w:bCs/>
          <w:color w:val="000000" w:themeColor="text1"/>
        </w:rPr>
        <w:t>1.</w:t>
      </w:r>
      <w:r w:rsidRPr="00146A1F">
        <w:rPr>
          <w:rFonts w:ascii="Times New Roman" w:hAnsi="Times New Roman" w:cs="Times New Roman"/>
          <w:color w:val="000000" w:themeColor="text1"/>
        </w:rPr>
        <w:t xml:space="preserve"> </w:t>
      </w:r>
      <w:r w:rsidRPr="00146A1F">
        <w:rPr>
          <w:rFonts w:ascii="Times New Roman" w:hAnsi="Times New Roman" w:cs="Times New Roman"/>
          <w:b/>
          <w:bCs/>
          <w:color w:val="000000" w:themeColor="text1"/>
        </w:rPr>
        <w:t>That Canadian citizenship</w:t>
      </w:r>
      <w:r w:rsidRPr="00146A1F">
        <w:rPr>
          <w:rFonts w:ascii="Times New Roman" w:hAnsi="Times New Roman" w:cs="Times New Roman"/>
          <w:color w:val="000000" w:themeColor="text1"/>
        </w:rPr>
        <w:t xml:space="preserve">, as an inherent right rooted in the constitutional architecture of Confederation, the common law of allegiance, and the civilian tradition, </w:t>
      </w:r>
      <w:r w:rsidRPr="00146A1F">
        <w:rPr>
          <w:rFonts w:ascii="Times New Roman" w:hAnsi="Times New Roman" w:cs="Times New Roman"/>
          <w:b/>
          <w:bCs/>
          <w:color w:val="000000" w:themeColor="text1"/>
        </w:rPr>
        <w:t>existed prior to January 1, 1947</w:t>
      </w:r>
      <w:r w:rsidRPr="00146A1F">
        <w:rPr>
          <w:rFonts w:ascii="Times New Roman" w:hAnsi="Times New Roman" w:cs="Times New Roman"/>
          <w:color w:val="000000" w:themeColor="text1"/>
        </w:rPr>
        <w:t>.</w:t>
      </w:r>
    </w:p>
    <w:p w14:paraId="1E9F4351" w14:textId="7C017B6D" w:rsidR="0051286A" w:rsidRPr="00146A1F" w:rsidRDefault="00000000" w:rsidP="00C02C6F">
      <w:pPr>
        <w:spacing w:after="240"/>
        <w:rPr>
          <w:rFonts w:ascii="Times New Roman" w:hAnsi="Times New Roman" w:cs="Times New Roman"/>
          <w:color w:val="000000" w:themeColor="text1"/>
        </w:rPr>
      </w:pPr>
      <w:r w:rsidRPr="00146A1F">
        <w:rPr>
          <w:rFonts w:ascii="Times New Roman" w:hAnsi="Times New Roman" w:cs="Times New Roman"/>
          <w:b/>
          <w:bCs/>
          <w:color w:val="000000" w:themeColor="text1"/>
        </w:rPr>
        <w:t>2.</w:t>
      </w:r>
      <w:r w:rsidRPr="00146A1F">
        <w:rPr>
          <w:rFonts w:ascii="Times New Roman" w:hAnsi="Times New Roman" w:cs="Times New Roman"/>
          <w:color w:val="000000" w:themeColor="text1"/>
        </w:rPr>
        <w:t xml:space="preserve"> </w:t>
      </w:r>
      <w:r w:rsidRPr="00146A1F">
        <w:rPr>
          <w:rFonts w:ascii="Times New Roman" w:hAnsi="Times New Roman" w:cs="Times New Roman"/>
          <w:b/>
          <w:bCs/>
          <w:color w:val="000000" w:themeColor="text1"/>
        </w:rPr>
        <w:t>That the 111,000 Canadians</w:t>
      </w:r>
      <w:r w:rsidRPr="00146A1F">
        <w:rPr>
          <w:rFonts w:ascii="Times New Roman" w:hAnsi="Times New Roman" w:cs="Times New Roman"/>
          <w:color w:val="000000" w:themeColor="text1"/>
        </w:rPr>
        <w:t xml:space="preserve"> who lost their lives in the service of Canada during the First and Second World Wars </w:t>
      </w:r>
      <w:r w:rsidRPr="00146A1F">
        <w:rPr>
          <w:rFonts w:ascii="Times New Roman" w:hAnsi="Times New Roman" w:cs="Times New Roman"/>
          <w:b/>
          <w:bCs/>
          <w:color w:val="000000" w:themeColor="text1"/>
        </w:rPr>
        <w:t>fell as Canadian citizens</w:t>
      </w:r>
      <w:r w:rsidRPr="00146A1F">
        <w:rPr>
          <w:rFonts w:ascii="Times New Roman" w:hAnsi="Times New Roman" w:cs="Times New Roman"/>
          <w:color w:val="000000" w:themeColor="text1"/>
        </w:rPr>
        <w:t xml:space="preserve"> and shall be so recognized in the official records of the Government of Canada.</w:t>
      </w:r>
    </w:p>
    <w:p w14:paraId="5EE63B03" w14:textId="77777777" w:rsidR="0051286A" w:rsidRPr="00146A1F" w:rsidRDefault="00000000" w:rsidP="00C02C6F">
      <w:pPr>
        <w:spacing w:after="240"/>
        <w:rPr>
          <w:rFonts w:ascii="Times New Roman" w:hAnsi="Times New Roman" w:cs="Times New Roman"/>
          <w:color w:val="000000" w:themeColor="text1"/>
        </w:rPr>
      </w:pPr>
      <w:r w:rsidRPr="00146A1F">
        <w:rPr>
          <w:rFonts w:ascii="Times New Roman" w:hAnsi="Times New Roman" w:cs="Times New Roman"/>
          <w:b/>
          <w:bCs/>
          <w:color w:val="000000" w:themeColor="text1"/>
        </w:rPr>
        <w:t>3.</w:t>
      </w:r>
      <w:r w:rsidRPr="00146A1F">
        <w:rPr>
          <w:rFonts w:ascii="Times New Roman" w:hAnsi="Times New Roman" w:cs="Times New Roman"/>
          <w:color w:val="000000" w:themeColor="text1"/>
        </w:rPr>
        <w:t xml:space="preserve"> </w:t>
      </w:r>
      <w:r w:rsidRPr="00146A1F">
        <w:rPr>
          <w:rFonts w:ascii="Times New Roman" w:hAnsi="Times New Roman" w:cs="Times New Roman"/>
          <w:b/>
          <w:bCs/>
          <w:color w:val="000000" w:themeColor="text1"/>
        </w:rPr>
        <w:t>That all persons</w:t>
      </w:r>
      <w:r w:rsidRPr="00146A1F">
        <w:rPr>
          <w:rFonts w:ascii="Times New Roman" w:hAnsi="Times New Roman" w:cs="Times New Roman"/>
          <w:color w:val="000000" w:themeColor="text1"/>
        </w:rPr>
        <w:t xml:space="preserve"> born or naturalized in Canada prior to January 1, 1947 — including Chinese Canadians, Japanese Canadians, and Indigenous peoples — shall be recognized as having </w:t>
      </w:r>
      <w:r w:rsidRPr="00146A1F">
        <w:rPr>
          <w:rFonts w:ascii="Times New Roman" w:hAnsi="Times New Roman" w:cs="Times New Roman"/>
          <w:b/>
          <w:bCs/>
          <w:color w:val="000000" w:themeColor="text1"/>
        </w:rPr>
        <w:t>possessed Canadian citizenship from birth or naturalization</w:t>
      </w:r>
      <w:r w:rsidRPr="00146A1F">
        <w:rPr>
          <w:rFonts w:ascii="Times New Roman" w:hAnsi="Times New Roman" w:cs="Times New Roman"/>
          <w:color w:val="000000" w:themeColor="text1"/>
        </w:rPr>
        <w:t>, and that any past administrative designations to the contrary were erroneous and contrary to law.</w:t>
      </w:r>
    </w:p>
    <w:p w14:paraId="4172D1F5" w14:textId="77777777" w:rsidR="0051286A" w:rsidRPr="00146A1F" w:rsidRDefault="00000000" w:rsidP="00C02C6F">
      <w:pPr>
        <w:spacing w:after="240"/>
        <w:rPr>
          <w:rFonts w:ascii="Times New Roman" w:hAnsi="Times New Roman" w:cs="Times New Roman"/>
          <w:color w:val="000000" w:themeColor="text1"/>
        </w:rPr>
      </w:pPr>
      <w:r w:rsidRPr="00146A1F">
        <w:rPr>
          <w:rFonts w:ascii="Times New Roman" w:hAnsi="Times New Roman" w:cs="Times New Roman"/>
          <w:b/>
          <w:bCs/>
          <w:color w:val="000000" w:themeColor="text1"/>
        </w:rPr>
        <w:t>4.</w:t>
      </w:r>
      <w:r w:rsidRPr="00146A1F">
        <w:rPr>
          <w:rFonts w:ascii="Times New Roman" w:hAnsi="Times New Roman" w:cs="Times New Roman"/>
          <w:color w:val="000000" w:themeColor="text1"/>
        </w:rPr>
        <w:t xml:space="preserve"> </w:t>
      </w:r>
      <w:r w:rsidRPr="00146A1F">
        <w:rPr>
          <w:rFonts w:ascii="Times New Roman" w:hAnsi="Times New Roman" w:cs="Times New Roman"/>
          <w:b/>
          <w:bCs/>
          <w:color w:val="000000" w:themeColor="text1"/>
        </w:rPr>
        <w:t xml:space="preserve">That </w:t>
      </w:r>
      <w:r w:rsidRPr="00146A1F">
        <w:rPr>
          <w:rFonts w:ascii="Times New Roman" w:hAnsi="Times New Roman" w:cs="Times New Roman"/>
          <w:b/>
          <w:bCs/>
          <w:i/>
          <w:iCs/>
          <w:color w:val="000000" w:themeColor="text1"/>
        </w:rPr>
        <w:t xml:space="preserve">An Act </w:t>
      </w:r>
      <w:proofErr w:type="gramStart"/>
      <w:r w:rsidRPr="00146A1F">
        <w:rPr>
          <w:rFonts w:ascii="Times New Roman" w:hAnsi="Times New Roman" w:cs="Times New Roman"/>
          <w:b/>
          <w:bCs/>
          <w:i/>
          <w:iCs/>
          <w:color w:val="000000" w:themeColor="text1"/>
        </w:rPr>
        <w:t>respecting</w:t>
      </w:r>
      <w:proofErr w:type="gramEnd"/>
      <w:r w:rsidRPr="00146A1F">
        <w:rPr>
          <w:rFonts w:ascii="Times New Roman" w:hAnsi="Times New Roman" w:cs="Times New Roman"/>
          <w:b/>
          <w:bCs/>
          <w:i/>
          <w:iCs/>
          <w:color w:val="000000" w:themeColor="text1"/>
        </w:rPr>
        <w:t xml:space="preserve"> Citizenship, Nationality, Naturalization and Status of Aliens</w:t>
      </w:r>
      <w:r w:rsidRPr="00146A1F">
        <w:rPr>
          <w:rFonts w:ascii="Times New Roman" w:hAnsi="Times New Roman" w:cs="Times New Roman"/>
          <w:b/>
          <w:bCs/>
          <w:color w:val="000000" w:themeColor="text1"/>
        </w:rPr>
        <w:t xml:space="preserve"> (S.C. 1946, c. 15)</w:t>
      </w:r>
      <w:r w:rsidRPr="00146A1F">
        <w:rPr>
          <w:rFonts w:ascii="Times New Roman" w:hAnsi="Times New Roman" w:cs="Times New Roman"/>
          <w:color w:val="000000" w:themeColor="text1"/>
        </w:rPr>
        <w:t xml:space="preserve"> was a codification and consolidation of existing rights, and not the genesis of Canadian citizenship.</w:t>
      </w:r>
    </w:p>
    <w:p w14:paraId="6CED851C" w14:textId="77777777" w:rsidR="0051286A" w:rsidRPr="00146A1F" w:rsidRDefault="00000000" w:rsidP="00C02C6F">
      <w:pPr>
        <w:spacing w:after="240"/>
        <w:rPr>
          <w:rFonts w:ascii="Times New Roman" w:hAnsi="Times New Roman" w:cs="Times New Roman"/>
          <w:color w:val="000000" w:themeColor="text1"/>
        </w:rPr>
      </w:pPr>
      <w:r w:rsidRPr="00146A1F">
        <w:rPr>
          <w:rFonts w:ascii="Times New Roman" w:hAnsi="Times New Roman" w:cs="Times New Roman"/>
          <w:b/>
          <w:bCs/>
          <w:color w:val="000000" w:themeColor="text1"/>
        </w:rPr>
        <w:t>BE IT FURTHER RESOLVED</w:t>
      </w:r>
      <w:r w:rsidRPr="00146A1F">
        <w:rPr>
          <w:rFonts w:ascii="Times New Roman" w:hAnsi="Times New Roman" w:cs="Times New Roman"/>
          <w:color w:val="000000" w:themeColor="text1"/>
        </w:rPr>
        <w:t xml:space="preserve"> that this resolution be communicated to the Prime Minister, the Minister of Citizenship and Immigration, the Minister of Canadian Heritage, and the Attorney General of Canada, and that the Government consider how best to align official records, commemorative programs, and public education materials with the declarations herein.</w:t>
      </w:r>
    </w:p>
    <w:sectPr w:rsidR="0051286A" w:rsidRPr="00146A1F" w:rsidSect="00C02C6F">
      <w:pgSz w:w="11906" w:h="16838"/>
      <w:pgMar w:top="1215" w:right="1440" w:bottom="1097"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BFD606B"/>
    <w:multiLevelType w:val="hybridMultilevel"/>
    <w:tmpl w:val="65701428"/>
    <w:lvl w:ilvl="0" w:tplc="A34AFA3A">
      <w:start w:val="1"/>
      <w:numFmt w:val="decimal"/>
      <w:lvlText w:val="%1."/>
      <w:lvlJc w:val="left"/>
      <w:pPr>
        <w:ind w:left="720" w:hanging="360"/>
      </w:pPr>
    </w:lvl>
    <w:lvl w:ilvl="1" w:tplc="241237A2">
      <w:start w:val="1"/>
      <w:numFmt w:val="decimal"/>
      <w:lvlText w:val="%2."/>
      <w:lvlJc w:val="left"/>
      <w:pPr>
        <w:ind w:left="1440" w:hanging="360"/>
      </w:pPr>
    </w:lvl>
    <w:lvl w:ilvl="2" w:tplc="A7469C7E">
      <w:start w:val="1"/>
      <w:numFmt w:val="decimal"/>
      <w:lvlText w:val="%3."/>
      <w:lvlJc w:val="left"/>
      <w:pPr>
        <w:ind w:left="2160" w:hanging="360"/>
      </w:pPr>
    </w:lvl>
    <w:lvl w:ilvl="3" w:tplc="FCAAAC5A">
      <w:start w:val="1"/>
      <w:numFmt w:val="decimal"/>
      <w:lvlText w:val="%4."/>
      <w:lvlJc w:val="left"/>
      <w:pPr>
        <w:ind w:left="2880" w:hanging="360"/>
      </w:pPr>
    </w:lvl>
    <w:lvl w:ilvl="4" w:tplc="9DD217FA">
      <w:start w:val="1"/>
      <w:numFmt w:val="decimal"/>
      <w:lvlText w:val="%5."/>
      <w:lvlJc w:val="left"/>
      <w:pPr>
        <w:ind w:left="3600" w:hanging="360"/>
      </w:pPr>
    </w:lvl>
    <w:lvl w:ilvl="5" w:tplc="33B2B83E">
      <w:numFmt w:val="decimal"/>
      <w:lvlText w:val=""/>
      <w:lvlJc w:val="left"/>
    </w:lvl>
    <w:lvl w:ilvl="6" w:tplc="ACAEFCDA">
      <w:numFmt w:val="decimal"/>
      <w:lvlText w:val=""/>
      <w:lvlJc w:val="left"/>
    </w:lvl>
    <w:lvl w:ilvl="7" w:tplc="C3F87F1A">
      <w:numFmt w:val="decimal"/>
      <w:lvlText w:val=""/>
      <w:lvlJc w:val="left"/>
    </w:lvl>
    <w:lvl w:ilvl="8" w:tplc="A28A2228">
      <w:numFmt w:val="decimal"/>
      <w:lvlText w:val=""/>
      <w:lvlJc w:val="left"/>
    </w:lvl>
  </w:abstractNum>
  <w:abstractNum w:abstractNumId="1" w15:restartNumberingAfterBreak="0">
    <w:nsid w:val="2E0662ED"/>
    <w:multiLevelType w:val="hybridMultilevel"/>
    <w:tmpl w:val="DFEC2002"/>
    <w:lvl w:ilvl="0" w:tplc="780A9DEA">
      <w:start w:val="1"/>
      <w:numFmt w:val="bullet"/>
      <w:lvlText w:val="●"/>
      <w:lvlJc w:val="left"/>
      <w:pPr>
        <w:ind w:left="720" w:hanging="360"/>
      </w:pPr>
    </w:lvl>
    <w:lvl w:ilvl="1" w:tplc="937A4BA4">
      <w:start w:val="1"/>
      <w:numFmt w:val="bullet"/>
      <w:lvlText w:val="○"/>
      <w:lvlJc w:val="left"/>
      <w:pPr>
        <w:ind w:left="1440" w:hanging="360"/>
      </w:pPr>
    </w:lvl>
    <w:lvl w:ilvl="2" w:tplc="20223E0C">
      <w:start w:val="1"/>
      <w:numFmt w:val="bullet"/>
      <w:lvlText w:val="■"/>
      <w:lvlJc w:val="left"/>
      <w:pPr>
        <w:ind w:left="2160" w:hanging="360"/>
      </w:pPr>
    </w:lvl>
    <w:lvl w:ilvl="3" w:tplc="A5F2C206">
      <w:start w:val="1"/>
      <w:numFmt w:val="bullet"/>
      <w:lvlText w:val="●"/>
      <w:lvlJc w:val="left"/>
      <w:pPr>
        <w:ind w:left="2880" w:hanging="360"/>
      </w:pPr>
    </w:lvl>
    <w:lvl w:ilvl="4" w:tplc="094ADDFE">
      <w:start w:val="1"/>
      <w:numFmt w:val="bullet"/>
      <w:lvlText w:val="○"/>
      <w:lvlJc w:val="left"/>
      <w:pPr>
        <w:ind w:left="3600" w:hanging="360"/>
      </w:pPr>
    </w:lvl>
    <w:lvl w:ilvl="5" w:tplc="DE121596">
      <w:start w:val="1"/>
      <w:numFmt w:val="bullet"/>
      <w:lvlText w:val="■"/>
      <w:lvlJc w:val="left"/>
      <w:pPr>
        <w:ind w:left="4320" w:hanging="360"/>
      </w:pPr>
    </w:lvl>
    <w:lvl w:ilvl="6" w:tplc="94D890D0">
      <w:start w:val="1"/>
      <w:numFmt w:val="bullet"/>
      <w:lvlText w:val="●"/>
      <w:lvlJc w:val="left"/>
      <w:pPr>
        <w:ind w:left="5040" w:hanging="360"/>
      </w:pPr>
    </w:lvl>
    <w:lvl w:ilvl="7" w:tplc="1004E684">
      <w:start w:val="1"/>
      <w:numFmt w:val="bullet"/>
      <w:lvlText w:val="●"/>
      <w:lvlJc w:val="left"/>
      <w:pPr>
        <w:ind w:left="5760" w:hanging="360"/>
      </w:pPr>
    </w:lvl>
    <w:lvl w:ilvl="8" w:tplc="E5E4DEC0">
      <w:start w:val="1"/>
      <w:numFmt w:val="bullet"/>
      <w:lvlText w:val="●"/>
      <w:lvlJc w:val="left"/>
      <w:pPr>
        <w:ind w:left="6480" w:hanging="360"/>
      </w:pPr>
    </w:lvl>
  </w:abstractNum>
  <w:num w:numId="1" w16cid:durableId="1142112534">
    <w:abstractNumId w:val="1"/>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303"/>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286A"/>
    <w:rsid w:val="00146A1F"/>
    <w:rsid w:val="0051286A"/>
    <w:rsid w:val="00BB54E0"/>
    <w:rsid w:val="00C02C6F"/>
    <w:rsid w:val="00CD565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7345C8F7"/>
  <w15:docId w15:val="{AD9453B6-CBBD-634B-9385-5DF0F0945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439</Words>
  <Characters>2343</Characters>
  <Application>Microsoft Office Word</Application>
  <DocSecurity>0</DocSecurity>
  <Lines>45</Lines>
  <Paragraphs>12</Paragraphs>
  <ScaleCrop>false</ScaleCrop>
  <Company/>
  <LinksUpToDate>false</LinksUpToDate>
  <CharactersWithSpaces>2770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Don Chapman</cp:lastModifiedBy>
  <cp:revision>2</cp:revision>
  <dcterms:created xsi:type="dcterms:W3CDTF">2026-09-08T18:29:00Z</dcterms:created>
  <dcterms:modified xsi:type="dcterms:W3CDTF">2026-09-08T18:29:00Z</dcterms:modified>
</cp:coreProperties>
</file>