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A0659C" w14:textId="77777777" w:rsidR="00BE22E7" w:rsidRPr="00D85C38" w:rsidRDefault="00000000">
      <w:pPr>
        <w:pStyle w:val="Heading1"/>
        <w:spacing w:before="400" w:after="200"/>
        <w:rPr>
          <w:rFonts w:ascii="Times New Roman" w:hAnsi="Times New Roman" w:cs="Times New Roman"/>
          <w:sz w:val="24"/>
          <w:szCs w:val="24"/>
        </w:rPr>
      </w:pPr>
      <w:r w:rsidRPr="00D85C38">
        <w:rPr>
          <w:rFonts w:ascii="Times New Roman" w:hAnsi="Times New Roman" w:cs="Times New Roman"/>
          <w:sz w:val="24"/>
          <w:szCs w:val="24"/>
        </w:rPr>
        <w:t>MEMORANDUM</w:t>
      </w:r>
    </w:p>
    <w:p w14:paraId="56232271" w14:textId="77777777" w:rsidR="00D85C38" w:rsidRPr="00D85C38" w:rsidRDefault="00000000">
      <w:pPr>
        <w:spacing w:after="120"/>
      </w:pPr>
      <w:r w:rsidRPr="00D85C38">
        <w:rPr>
          <w:b/>
          <w:bCs/>
        </w:rPr>
        <w:t>TO:</w:t>
      </w:r>
      <w:r w:rsidRPr="00D85C38">
        <w:t xml:space="preserve"> The Honourable Ministers and Members of Parliament </w:t>
      </w:r>
    </w:p>
    <w:p w14:paraId="52883DAB" w14:textId="77777777" w:rsidR="00D85C38" w:rsidRPr="00D85C38" w:rsidRDefault="00000000">
      <w:pPr>
        <w:spacing w:after="120"/>
      </w:pPr>
      <w:r w:rsidRPr="00D85C38">
        <w:rPr>
          <w:b/>
          <w:bCs/>
        </w:rPr>
        <w:t>FROM:</w:t>
      </w:r>
      <w:r w:rsidRPr="00D85C38">
        <w:t xml:space="preserve"> Don Chapman, Founder of the Lost Canadians; Author, </w:t>
      </w:r>
      <w:r w:rsidRPr="00D85C38">
        <w:rPr>
          <w:i/>
          <w:iCs/>
        </w:rPr>
        <w:t>The Lost Canadians: A Struggle for Citizenship Rights</w:t>
      </w:r>
      <w:r w:rsidRPr="00D85C38">
        <w:t xml:space="preserve"> </w:t>
      </w:r>
    </w:p>
    <w:p w14:paraId="153930FD" w14:textId="77777777" w:rsidR="00D85C38" w:rsidRPr="00D85C38" w:rsidRDefault="00000000">
      <w:pPr>
        <w:spacing w:after="120"/>
      </w:pPr>
      <w:r w:rsidRPr="00D85C38">
        <w:rPr>
          <w:b/>
          <w:bCs/>
        </w:rPr>
        <w:t>DATE:</w:t>
      </w:r>
      <w:r w:rsidRPr="00D85C38">
        <w:t xml:space="preserve"> September 9, 2026 </w:t>
      </w:r>
    </w:p>
    <w:p w14:paraId="6566DB53" w14:textId="4FB2B0E5" w:rsidR="00BE22E7" w:rsidRPr="00D85C38" w:rsidRDefault="00000000">
      <w:pPr>
        <w:spacing w:after="120"/>
      </w:pPr>
      <w:r w:rsidRPr="00D85C38">
        <w:rPr>
          <w:b/>
          <w:bCs/>
        </w:rPr>
        <w:t>RE:</w:t>
      </w:r>
      <w:r w:rsidRPr="00D85C38">
        <w:t xml:space="preserve"> Canadian Citizenship Before 1947 — The Case for a Declaratory Resolution</w:t>
      </w:r>
    </w:p>
    <w:p w14:paraId="35F8EE32" w14:textId="77777777" w:rsidR="00BE22E7" w:rsidRPr="00D85C38" w:rsidRDefault="00000000">
      <w:pPr>
        <w:pStyle w:val="Heading2"/>
        <w:spacing w:before="300" w:after="150"/>
        <w:rPr>
          <w:rFonts w:ascii="Times New Roman" w:hAnsi="Times New Roman" w:cs="Times New Roman"/>
          <w:sz w:val="24"/>
          <w:szCs w:val="24"/>
        </w:rPr>
      </w:pPr>
      <w:r w:rsidRPr="00D85C38">
        <w:rPr>
          <w:rFonts w:ascii="Times New Roman" w:hAnsi="Times New Roman" w:cs="Times New Roman"/>
          <w:sz w:val="24"/>
          <w:szCs w:val="24"/>
        </w:rPr>
        <w:t>The Bottom Line</w:t>
      </w:r>
    </w:p>
    <w:p w14:paraId="29D6D559"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claim that Canadian citizenship was </w:t>
      </w:r>
      <w:r w:rsidRPr="00D85C38">
        <w:rPr>
          <w:rFonts w:ascii="Times New Roman" w:hAnsi="Times New Roman" w:cs="Times New Roman"/>
          <w:b/>
          <w:bCs/>
          <w:sz w:val="24"/>
          <w:szCs w:val="24"/>
        </w:rPr>
        <w:t>created</w:t>
      </w:r>
      <w:r w:rsidRPr="00D85C38">
        <w:rPr>
          <w:rFonts w:ascii="Times New Roman" w:hAnsi="Times New Roman" w:cs="Times New Roman"/>
          <w:sz w:val="24"/>
          <w:szCs w:val="24"/>
        </w:rPr>
        <w:t xml:space="preserve"> on January 1, </w:t>
      </w:r>
      <w:proofErr w:type="gramStart"/>
      <w:r w:rsidRPr="00D85C38">
        <w:rPr>
          <w:rFonts w:ascii="Times New Roman" w:hAnsi="Times New Roman" w:cs="Times New Roman"/>
          <w:sz w:val="24"/>
          <w:szCs w:val="24"/>
        </w:rPr>
        <w:t>1947</w:t>
      </w:r>
      <w:proofErr w:type="gramEnd"/>
      <w:r w:rsidRPr="00D85C38">
        <w:rPr>
          <w:rFonts w:ascii="Times New Roman" w:hAnsi="Times New Roman" w:cs="Times New Roman"/>
          <w:sz w:val="24"/>
          <w:szCs w:val="24"/>
        </w:rPr>
        <w:t xml:space="preserve"> is false.</w:t>
      </w:r>
    </w:p>
    <w:p w14:paraId="31C3815D"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record shows citizenship existed — defined, enumerated, conscripted, protected, and represented internationally — </w:t>
      </w:r>
      <w:r w:rsidRPr="00D85C38">
        <w:rPr>
          <w:rFonts w:ascii="Times New Roman" w:hAnsi="Times New Roman" w:cs="Times New Roman"/>
          <w:b/>
          <w:bCs/>
          <w:sz w:val="24"/>
          <w:szCs w:val="24"/>
        </w:rPr>
        <w:t>long before 1947</w:t>
      </w:r>
      <w:r w:rsidRPr="00D85C38">
        <w:rPr>
          <w:rFonts w:ascii="Times New Roman" w:hAnsi="Times New Roman" w:cs="Times New Roman"/>
          <w:sz w:val="24"/>
          <w:szCs w:val="24"/>
        </w:rPr>
        <w:t>.</w:t>
      </w:r>
    </w:p>
    <w:p w14:paraId="344691F2"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1946 Act was a </w:t>
      </w:r>
      <w:r w:rsidRPr="00D85C38">
        <w:rPr>
          <w:rFonts w:ascii="Times New Roman" w:hAnsi="Times New Roman" w:cs="Times New Roman"/>
          <w:b/>
          <w:bCs/>
          <w:sz w:val="24"/>
          <w:szCs w:val="24"/>
        </w:rPr>
        <w:t>codification</w:t>
      </w:r>
      <w:r w:rsidRPr="00D85C38">
        <w:rPr>
          <w:rFonts w:ascii="Times New Roman" w:hAnsi="Times New Roman" w:cs="Times New Roman"/>
          <w:sz w:val="24"/>
          <w:szCs w:val="24"/>
        </w:rPr>
        <w:t xml:space="preserve"> of an existing status, not its genesis.</w:t>
      </w:r>
    </w:p>
    <w:p w14:paraId="1259BD7E" w14:textId="4764D4C8"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Parliament should adopt a </w:t>
      </w:r>
      <w:r w:rsidRPr="00D85C38">
        <w:rPr>
          <w:rFonts w:ascii="Times New Roman" w:hAnsi="Times New Roman" w:cs="Times New Roman"/>
          <w:b/>
          <w:bCs/>
          <w:sz w:val="24"/>
          <w:szCs w:val="24"/>
        </w:rPr>
        <w:t>declaratory resolution</w:t>
      </w:r>
      <w:r w:rsidRPr="00D85C38">
        <w:rPr>
          <w:rFonts w:ascii="Times New Roman" w:hAnsi="Times New Roman" w:cs="Times New Roman"/>
          <w:sz w:val="24"/>
          <w:szCs w:val="24"/>
        </w:rPr>
        <w:t xml:space="preserve"> recognizing that Canadian citizenship existed before 1947</w:t>
      </w:r>
      <w:r w:rsidR="001A239D">
        <w:rPr>
          <w:rFonts w:ascii="Times New Roman" w:hAnsi="Times New Roman" w:cs="Times New Roman"/>
          <w:sz w:val="24"/>
          <w:szCs w:val="24"/>
        </w:rPr>
        <w:t xml:space="preserve"> (see below).</w:t>
      </w:r>
    </w:p>
    <w:p w14:paraId="17C756AE" w14:textId="77777777" w:rsidR="00BE22E7" w:rsidRPr="00D85C38" w:rsidRDefault="00BE22E7">
      <w:pPr>
        <w:pBdr>
          <w:bottom w:val="single" w:sz="6" w:space="1" w:color="CCCCCC"/>
        </w:pBdr>
        <w:spacing w:before="120" w:after="120"/>
      </w:pPr>
    </w:p>
    <w:p w14:paraId="555504C3" w14:textId="77777777" w:rsidR="00BE22E7" w:rsidRPr="00D85C38" w:rsidRDefault="00000000">
      <w:pPr>
        <w:pStyle w:val="Heading2"/>
        <w:spacing w:before="300" w:after="150"/>
        <w:rPr>
          <w:rFonts w:ascii="Times New Roman" w:hAnsi="Times New Roman" w:cs="Times New Roman"/>
          <w:sz w:val="24"/>
          <w:szCs w:val="24"/>
        </w:rPr>
      </w:pPr>
      <w:r w:rsidRPr="00D85C38">
        <w:rPr>
          <w:rFonts w:ascii="Times New Roman" w:hAnsi="Times New Roman" w:cs="Times New Roman"/>
          <w:sz w:val="24"/>
          <w:szCs w:val="24"/>
        </w:rPr>
        <w:t>The Crown Has Already Conceded</w:t>
      </w:r>
    </w:p>
    <w:p w14:paraId="39A4857B"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In </w:t>
      </w:r>
      <w:r w:rsidRPr="00D85C38">
        <w:rPr>
          <w:rFonts w:ascii="Times New Roman" w:hAnsi="Times New Roman" w:cs="Times New Roman"/>
          <w:i/>
          <w:iCs/>
          <w:sz w:val="24"/>
          <w:szCs w:val="24"/>
        </w:rPr>
        <w:t>Manitoba Métis Federation v. Canada</w:t>
      </w:r>
      <w:r w:rsidRPr="00D85C38">
        <w:rPr>
          <w:rFonts w:ascii="Times New Roman" w:hAnsi="Times New Roman" w:cs="Times New Roman"/>
          <w:sz w:val="24"/>
          <w:szCs w:val="24"/>
        </w:rPr>
        <w:t xml:space="preserve"> </w:t>
      </w:r>
      <w:r w:rsidRPr="00D85C38">
        <w:rPr>
          <w:rFonts w:ascii="Times New Roman" w:hAnsi="Times New Roman" w:cs="Times New Roman"/>
          <w:b/>
          <w:bCs/>
          <w:sz w:val="24"/>
          <w:szCs w:val="24"/>
        </w:rPr>
        <w:t>(2013 SCC 14)</w:t>
      </w:r>
      <w:r w:rsidRPr="00D85C38">
        <w:rPr>
          <w:rFonts w:ascii="Times New Roman" w:hAnsi="Times New Roman" w:cs="Times New Roman"/>
          <w:sz w:val="24"/>
          <w:szCs w:val="24"/>
        </w:rPr>
        <w:t xml:space="preserve">, the Attorney General of Canada argued the Métis were </w:t>
      </w:r>
      <w:r w:rsidRPr="00D85C38">
        <w:rPr>
          <w:rFonts w:ascii="Times New Roman" w:hAnsi="Times New Roman" w:cs="Times New Roman"/>
          <w:b/>
          <w:bCs/>
          <w:sz w:val="24"/>
          <w:szCs w:val="24"/>
        </w:rPr>
        <w:t>full citizens of Canada from 1870</w:t>
      </w:r>
      <w:r w:rsidRPr="00D85C38">
        <w:rPr>
          <w:rFonts w:ascii="Times New Roman" w:hAnsi="Times New Roman" w:cs="Times New Roman"/>
          <w:sz w:val="24"/>
          <w:szCs w:val="24"/>
        </w:rPr>
        <w:t>.</w:t>
      </w:r>
    </w:p>
    <w:p w14:paraId="77A194F3"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The Supreme Court accepted that status existed before 1947.</w:t>
      </w:r>
    </w:p>
    <w:p w14:paraId="0CDC233E"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Crown is therefore </w:t>
      </w:r>
      <w:r w:rsidRPr="00D85C38">
        <w:rPr>
          <w:rFonts w:ascii="Times New Roman" w:hAnsi="Times New Roman" w:cs="Times New Roman"/>
          <w:b/>
          <w:bCs/>
          <w:sz w:val="24"/>
          <w:szCs w:val="24"/>
        </w:rPr>
        <w:t>estopped</w:t>
      </w:r>
      <w:r w:rsidRPr="00D85C38">
        <w:rPr>
          <w:rFonts w:ascii="Times New Roman" w:hAnsi="Times New Roman" w:cs="Times New Roman"/>
          <w:sz w:val="24"/>
          <w:szCs w:val="24"/>
        </w:rPr>
        <w:t xml:space="preserve"> — it cannot now deny Canadian citizenship existed before 1947, having conceded exactly that before the highest court.</w:t>
      </w:r>
    </w:p>
    <w:p w14:paraId="7440C9D4" w14:textId="77777777" w:rsidR="00BE22E7"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government's own 1947 </w:t>
      </w:r>
      <w:r w:rsidRPr="00D85C38">
        <w:rPr>
          <w:rFonts w:ascii="Times New Roman" w:hAnsi="Times New Roman" w:cs="Times New Roman"/>
          <w:i/>
          <w:iCs/>
          <w:sz w:val="24"/>
          <w:szCs w:val="24"/>
        </w:rPr>
        <w:t>Canadian Bar Review</w:t>
      </w:r>
      <w:r w:rsidRPr="00D85C38">
        <w:rPr>
          <w:rFonts w:ascii="Times New Roman" w:hAnsi="Times New Roman" w:cs="Times New Roman"/>
          <w:sz w:val="24"/>
          <w:szCs w:val="24"/>
        </w:rPr>
        <w:t xml:space="preserve"> article likewise called the 1946 Act a </w:t>
      </w:r>
      <w:r w:rsidRPr="00D85C38">
        <w:rPr>
          <w:rFonts w:ascii="Times New Roman" w:hAnsi="Times New Roman" w:cs="Times New Roman"/>
          <w:b/>
          <w:bCs/>
          <w:sz w:val="24"/>
          <w:szCs w:val="24"/>
        </w:rPr>
        <w:t>consolidation</w:t>
      </w:r>
      <w:r w:rsidRPr="00D85C38">
        <w:rPr>
          <w:rFonts w:ascii="Times New Roman" w:hAnsi="Times New Roman" w:cs="Times New Roman"/>
          <w:sz w:val="24"/>
          <w:szCs w:val="24"/>
        </w:rPr>
        <w:t xml:space="preserve"> of existing law, not a creation.</w:t>
      </w:r>
    </w:p>
    <w:p w14:paraId="748BAEB7"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Mackenzie King, January 3, 1947: many </w:t>
      </w:r>
      <w:proofErr w:type="gramStart"/>
      <w:r w:rsidRPr="00D85C38">
        <w:rPr>
          <w:rFonts w:ascii="Times New Roman" w:hAnsi="Times New Roman" w:cs="Times New Roman"/>
          <w:sz w:val="24"/>
          <w:szCs w:val="24"/>
        </w:rPr>
        <w:t>present</w:t>
      </w:r>
      <w:proofErr w:type="gramEnd"/>
      <w:r w:rsidRPr="00D85C38">
        <w:rPr>
          <w:rFonts w:ascii="Times New Roman" w:hAnsi="Times New Roman" w:cs="Times New Roman"/>
          <w:sz w:val="24"/>
          <w:szCs w:val="24"/>
        </w:rPr>
        <w:t xml:space="preserve"> had "enjoyed those rights all our lives."</w:t>
      </w:r>
    </w:p>
    <w:p w14:paraId="2DBAA77B" w14:textId="77777777" w:rsidR="00BE22E7" w:rsidRPr="00D85C38" w:rsidRDefault="00BE22E7">
      <w:pPr>
        <w:pBdr>
          <w:bottom w:val="single" w:sz="6" w:space="1" w:color="CCCCCC"/>
        </w:pBdr>
        <w:spacing w:before="120" w:after="120"/>
      </w:pPr>
    </w:p>
    <w:p w14:paraId="6CB7DD0B" w14:textId="77777777" w:rsidR="00BE22E7" w:rsidRPr="00D85C38" w:rsidRDefault="00000000">
      <w:pPr>
        <w:pStyle w:val="Heading2"/>
        <w:spacing w:before="300" w:after="150"/>
        <w:rPr>
          <w:rFonts w:ascii="Times New Roman" w:hAnsi="Times New Roman" w:cs="Times New Roman"/>
          <w:sz w:val="24"/>
          <w:szCs w:val="24"/>
        </w:rPr>
      </w:pPr>
      <w:r w:rsidRPr="00D85C38">
        <w:rPr>
          <w:rFonts w:ascii="Times New Roman" w:hAnsi="Times New Roman" w:cs="Times New Roman"/>
          <w:sz w:val="24"/>
          <w:szCs w:val="24"/>
        </w:rPr>
        <w:t xml:space="preserve">The Evidence </w:t>
      </w:r>
      <w:proofErr w:type="gramStart"/>
      <w:r w:rsidRPr="00D85C38">
        <w:rPr>
          <w:rFonts w:ascii="Times New Roman" w:hAnsi="Times New Roman" w:cs="Times New Roman"/>
          <w:sz w:val="24"/>
          <w:szCs w:val="24"/>
        </w:rPr>
        <w:t>at a Glance</w:t>
      </w:r>
      <w:proofErr w:type="gramEnd"/>
    </w:p>
    <w:p w14:paraId="64A7D426" w14:textId="77777777" w:rsidR="00BE22E7" w:rsidRPr="00D85C38" w:rsidRDefault="00000000">
      <w:pPr>
        <w:spacing w:after="120"/>
      </w:pPr>
      <w:r w:rsidRPr="00D85C38">
        <w:rPr>
          <w:b/>
          <w:bCs/>
        </w:rPr>
        <w:t>1. Canada acted as a sovereign state with citizens</w:t>
      </w:r>
    </w:p>
    <w:p w14:paraId="158297E4"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1923: Canada signed its first independent treaty (Pacific Halibut) — no British involvement.</w:t>
      </w:r>
    </w:p>
    <w:p w14:paraId="4E09B063"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1924: Canada–U.S. treaties recognized reciprocal rights belonging to </w:t>
      </w:r>
      <w:r w:rsidRPr="00D85C38">
        <w:rPr>
          <w:rFonts w:ascii="Times New Roman" w:hAnsi="Times New Roman" w:cs="Times New Roman"/>
          <w:b/>
          <w:bCs/>
          <w:sz w:val="24"/>
          <w:szCs w:val="24"/>
        </w:rPr>
        <w:t>Canadian citizens</w:t>
      </w:r>
      <w:r w:rsidRPr="00D85C38">
        <w:rPr>
          <w:rFonts w:ascii="Times New Roman" w:hAnsi="Times New Roman" w:cs="Times New Roman"/>
          <w:sz w:val="24"/>
          <w:szCs w:val="24"/>
        </w:rPr>
        <w:t xml:space="preserve"> — 27 years before 1947.</w:t>
      </w:r>
    </w:p>
    <w:p w14:paraId="64C0A665" w14:textId="77777777" w:rsidR="00BE22E7" w:rsidRPr="00D85C38" w:rsidRDefault="00000000">
      <w:pPr>
        <w:spacing w:after="120"/>
      </w:pPr>
      <w:r w:rsidRPr="00D85C38">
        <w:rPr>
          <w:b/>
          <w:bCs/>
        </w:rPr>
        <w:t>2. Citizenship appeared in statute decades early</w:t>
      </w:r>
    </w:p>
    <w:p w14:paraId="4DBC6820"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1910: The </w:t>
      </w:r>
      <w:r w:rsidRPr="00D85C38">
        <w:rPr>
          <w:rFonts w:ascii="Times New Roman" w:hAnsi="Times New Roman" w:cs="Times New Roman"/>
          <w:i/>
          <w:iCs/>
          <w:sz w:val="24"/>
          <w:szCs w:val="24"/>
        </w:rPr>
        <w:t>Immigration Act</w:t>
      </w:r>
      <w:r w:rsidRPr="00D85C38">
        <w:rPr>
          <w:rFonts w:ascii="Times New Roman" w:hAnsi="Times New Roman" w:cs="Times New Roman"/>
          <w:sz w:val="24"/>
          <w:szCs w:val="24"/>
        </w:rPr>
        <w:t xml:space="preserve"> defined the "Canadian citizen" — a class immune from deportation.</w:t>
      </w:r>
    </w:p>
    <w:p w14:paraId="4FF381FE"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1921: The </w:t>
      </w:r>
      <w:r w:rsidRPr="00D85C38">
        <w:rPr>
          <w:rFonts w:ascii="Times New Roman" w:hAnsi="Times New Roman" w:cs="Times New Roman"/>
          <w:i/>
          <w:iCs/>
          <w:sz w:val="24"/>
          <w:szCs w:val="24"/>
        </w:rPr>
        <w:t>Canadian Nationals Act</w:t>
      </w:r>
      <w:r w:rsidRPr="00D85C38">
        <w:rPr>
          <w:rFonts w:ascii="Times New Roman" w:hAnsi="Times New Roman" w:cs="Times New Roman"/>
          <w:sz w:val="24"/>
          <w:szCs w:val="24"/>
        </w:rPr>
        <w:t xml:space="preserve"> declared Canadian nationality and citizenship synonymous.</w:t>
      </w:r>
    </w:p>
    <w:p w14:paraId="4BCEDC77"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1929: Parliament debated Canadian nationality as a settled, distinct status.</w:t>
      </w:r>
    </w:p>
    <w:p w14:paraId="59ECB059" w14:textId="77777777" w:rsidR="00BE22E7" w:rsidRPr="00D85C38" w:rsidRDefault="00000000">
      <w:pPr>
        <w:spacing w:after="120"/>
      </w:pPr>
      <w:r w:rsidRPr="00D85C38">
        <w:rPr>
          <w:b/>
          <w:bCs/>
        </w:rPr>
        <w:lastRenderedPageBreak/>
        <w:t>3. The state's own machinery treated it as real</w:t>
      </w:r>
    </w:p>
    <w:p w14:paraId="68362E7B"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b/>
          <w:bCs/>
          <w:sz w:val="24"/>
          <w:szCs w:val="24"/>
        </w:rPr>
        <w:t>1901:</w:t>
      </w:r>
      <w:r w:rsidRPr="00D85C38">
        <w:rPr>
          <w:rFonts w:ascii="Times New Roman" w:hAnsi="Times New Roman" w:cs="Times New Roman"/>
          <w:sz w:val="24"/>
          <w:szCs w:val="24"/>
        </w:rPr>
        <w:t xml:space="preserve"> The census instructed enumerators to record "Canadian" as a nationality — for those who had acquired rights of citizenship.</w:t>
      </w:r>
    </w:p>
    <w:p w14:paraId="01A210F6"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b/>
          <w:bCs/>
          <w:sz w:val="24"/>
          <w:szCs w:val="24"/>
        </w:rPr>
        <w:t>1941:</w:t>
      </w:r>
      <w:r w:rsidRPr="00D85C38">
        <w:rPr>
          <w:rFonts w:ascii="Times New Roman" w:hAnsi="Times New Roman" w:cs="Times New Roman"/>
          <w:sz w:val="24"/>
          <w:szCs w:val="24"/>
        </w:rPr>
        <w:t xml:space="preserve"> The census again counted "Canadian" as a nationality.</w:t>
      </w:r>
    </w:p>
    <w:p w14:paraId="41714C8A"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Passports identified bearers as Canadians.</w:t>
      </w:r>
    </w:p>
    <w:p w14:paraId="32921331"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Wartime orders (1944, 1945) </w:t>
      </w:r>
      <w:r w:rsidRPr="00D85C38">
        <w:rPr>
          <w:rFonts w:ascii="Times New Roman" w:hAnsi="Times New Roman" w:cs="Times New Roman"/>
          <w:b/>
          <w:bCs/>
          <w:sz w:val="24"/>
          <w:szCs w:val="24"/>
        </w:rPr>
        <w:t>transmitted</w:t>
      </w:r>
      <w:r w:rsidRPr="00D85C38">
        <w:rPr>
          <w:rFonts w:ascii="Times New Roman" w:hAnsi="Times New Roman" w:cs="Times New Roman"/>
          <w:sz w:val="24"/>
          <w:szCs w:val="24"/>
        </w:rPr>
        <w:t xml:space="preserve"> citizenship to children born abroad — you cannot transmit a status that does not exist.</w:t>
      </w:r>
    </w:p>
    <w:p w14:paraId="28F70190"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1946: the government told war brides they were "automatically" becoming Canadian citizens — before the Act was proclaimed.</w:t>
      </w:r>
    </w:p>
    <w:p w14:paraId="2703C516" w14:textId="77777777" w:rsidR="00BE22E7" w:rsidRPr="00D85C38" w:rsidRDefault="00000000">
      <w:pPr>
        <w:spacing w:after="120"/>
      </w:pPr>
      <w:r w:rsidRPr="00D85C38">
        <w:rPr>
          <w:b/>
          <w:bCs/>
        </w:rPr>
        <w:t>4. The courts recognized it</w:t>
      </w:r>
    </w:p>
    <w:p w14:paraId="56AC9350"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i/>
          <w:iCs/>
          <w:sz w:val="24"/>
          <w:szCs w:val="24"/>
        </w:rPr>
        <w:t>Shin Shim</w:t>
      </w:r>
      <w:r w:rsidRPr="00D85C38">
        <w:rPr>
          <w:rFonts w:ascii="Times New Roman" w:hAnsi="Times New Roman" w:cs="Times New Roman"/>
          <w:sz w:val="24"/>
          <w:szCs w:val="24"/>
        </w:rPr>
        <w:t xml:space="preserve"> (1938): Canadian-born Chinese children were citizens by birth, exempt from the head tax.</w:t>
      </w:r>
    </w:p>
    <w:p w14:paraId="359C585A"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i/>
          <w:iCs/>
          <w:sz w:val="24"/>
          <w:szCs w:val="24"/>
        </w:rPr>
        <w:t>Reference re Alberta Statutes</w:t>
      </w:r>
      <w:r w:rsidRPr="00D85C38">
        <w:rPr>
          <w:rFonts w:ascii="Times New Roman" w:hAnsi="Times New Roman" w:cs="Times New Roman"/>
          <w:sz w:val="24"/>
          <w:szCs w:val="24"/>
        </w:rPr>
        <w:t xml:space="preserve"> (1938): Justice Cannon located citizenship in the preamble to the B.N.A. Act, 1867.</w:t>
      </w:r>
    </w:p>
    <w:p w14:paraId="49F64AF0"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The </w:t>
      </w:r>
      <w:r w:rsidRPr="00D85C38">
        <w:rPr>
          <w:rFonts w:ascii="Times New Roman" w:hAnsi="Times New Roman" w:cs="Times New Roman"/>
          <w:i/>
          <w:iCs/>
          <w:sz w:val="24"/>
          <w:szCs w:val="24"/>
        </w:rPr>
        <w:t>Interpretation Act</w:t>
      </w:r>
      <w:r w:rsidRPr="00D85C38">
        <w:rPr>
          <w:rFonts w:ascii="Times New Roman" w:hAnsi="Times New Roman" w:cs="Times New Roman"/>
          <w:sz w:val="24"/>
          <w:szCs w:val="24"/>
        </w:rPr>
        <w:t xml:space="preserve"> preserves these pre-1947 concepts in current law.</w:t>
      </w:r>
    </w:p>
    <w:p w14:paraId="08A5B5A7" w14:textId="77777777" w:rsidR="00BE22E7" w:rsidRPr="00D85C38" w:rsidRDefault="00000000">
      <w:pPr>
        <w:spacing w:after="120"/>
      </w:pPr>
      <w:r w:rsidRPr="00D85C38">
        <w:rPr>
          <w:b/>
          <w:bCs/>
        </w:rPr>
        <w:t>5. Conscription is the damning proof</w:t>
      </w:r>
    </w:p>
    <w:p w14:paraId="583680B0"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 xml:space="preserve">In both World Wars, Canada conscripted men </w:t>
      </w:r>
      <w:r w:rsidRPr="00D85C38">
        <w:rPr>
          <w:rFonts w:ascii="Times New Roman" w:hAnsi="Times New Roman" w:cs="Times New Roman"/>
          <w:b/>
          <w:bCs/>
          <w:sz w:val="24"/>
          <w:szCs w:val="24"/>
        </w:rPr>
        <w:t>as Canadian citizens</w:t>
      </w:r>
      <w:r w:rsidRPr="00D85C38">
        <w:rPr>
          <w:rFonts w:ascii="Times New Roman" w:hAnsi="Times New Roman" w:cs="Times New Roman"/>
          <w:sz w:val="24"/>
          <w:szCs w:val="24"/>
        </w:rPr>
        <w:t xml:space="preserve"> — differentiating them from British subjects.</w:t>
      </w:r>
    </w:p>
    <w:p w14:paraId="3DF3C28B"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111,000 Canadians fell. Their records and headstones mark them as Canadians.</w:t>
      </w:r>
    </w:p>
    <w:p w14:paraId="4B7B29D5" w14:textId="77777777" w:rsidR="00BE22E7" w:rsidRPr="00D85C38" w:rsidRDefault="00000000">
      <w:pPr>
        <w:pStyle w:val="ListParagraph"/>
        <w:numPr>
          <w:ilvl w:val="0"/>
          <w:numId w:val="1"/>
        </w:numPr>
        <w:spacing w:after="60"/>
        <w:rPr>
          <w:rFonts w:ascii="Times New Roman" w:hAnsi="Times New Roman" w:cs="Times New Roman"/>
          <w:sz w:val="24"/>
          <w:szCs w:val="24"/>
        </w:rPr>
      </w:pPr>
      <w:r w:rsidRPr="00D85C38">
        <w:rPr>
          <w:rFonts w:ascii="Times New Roman" w:hAnsi="Times New Roman" w:cs="Times New Roman"/>
          <w:sz w:val="24"/>
          <w:szCs w:val="24"/>
        </w:rPr>
        <w:t>A state does not conscript citizens it does not believe it has.</w:t>
      </w:r>
    </w:p>
    <w:p w14:paraId="4F00BA54" w14:textId="77777777" w:rsidR="00BE22E7" w:rsidRPr="00D85C38" w:rsidRDefault="00BE22E7">
      <w:pPr>
        <w:pBdr>
          <w:bottom w:val="single" w:sz="6" w:space="1" w:color="CCCCCC"/>
        </w:pBdr>
        <w:spacing w:before="120" w:after="120"/>
      </w:pPr>
    </w:p>
    <w:p w14:paraId="69F8FC35" w14:textId="77777777" w:rsidR="00BE22E7" w:rsidRPr="00D85C38" w:rsidRDefault="00000000">
      <w:pPr>
        <w:pStyle w:val="Heading2"/>
        <w:spacing w:before="300" w:after="150"/>
        <w:rPr>
          <w:rFonts w:ascii="Times New Roman" w:hAnsi="Times New Roman" w:cs="Times New Roman"/>
          <w:sz w:val="24"/>
          <w:szCs w:val="24"/>
        </w:rPr>
      </w:pPr>
      <w:r w:rsidRPr="00D85C38">
        <w:rPr>
          <w:rFonts w:ascii="Times New Roman" w:hAnsi="Times New Roman" w:cs="Times New Roman"/>
          <w:sz w:val="24"/>
          <w:szCs w:val="24"/>
        </w:rPr>
        <w:t>Why It Matters</w:t>
      </w:r>
    </w:p>
    <w:p w14:paraId="0563EF89" w14:textId="2683868A" w:rsidR="009D06E0" w:rsidRPr="000E2B63" w:rsidRDefault="002001C6" w:rsidP="009D06E0">
      <w:pPr>
        <w:pStyle w:val="ListParagraph"/>
        <w:numPr>
          <w:ilvl w:val="0"/>
          <w:numId w:val="1"/>
        </w:numPr>
        <w:spacing w:after="120"/>
        <w:rPr>
          <w:rFonts w:ascii="Times New Roman" w:hAnsi="Times New Roman" w:cs="Times New Roman"/>
          <w:sz w:val="24"/>
          <w:szCs w:val="24"/>
        </w:rPr>
      </w:pPr>
      <w:r>
        <w:rPr>
          <w:rFonts w:ascii="Times New Roman" w:hAnsi="Times New Roman" w:cs="Times New Roman"/>
          <w:b/>
          <w:bCs/>
          <w:sz w:val="24"/>
          <w:szCs w:val="24"/>
        </w:rPr>
        <w:t>F</w:t>
      </w:r>
      <w:r w:rsidR="009D06E0" w:rsidRPr="001A239D">
        <w:rPr>
          <w:rFonts w:ascii="Times New Roman" w:hAnsi="Times New Roman" w:cs="Times New Roman"/>
          <w:b/>
          <w:bCs/>
          <w:sz w:val="24"/>
          <w:szCs w:val="24"/>
        </w:rPr>
        <w:t>ive Lost Canadian bills have passed</w:t>
      </w:r>
      <w:r>
        <w:rPr>
          <w:rFonts w:ascii="Times New Roman" w:hAnsi="Times New Roman" w:cs="Times New Roman"/>
          <w:b/>
          <w:bCs/>
          <w:sz w:val="24"/>
          <w:szCs w:val="24"/>
        </w:rPr>
        <w:t xml:space="preserve">. </w:t>
      </w:r>
      <w:r>
        <w:rPr>
          <w:rFonts w:ascii="Times New Roman" w:hAnsi="Times New Roman" w:cs="Times New Roman"/>
          <w:sz w:val="24"/>
          <w:szCs w:val="24"/>
        </w:rPr>
        <w:t xml:space="preserve">Not covered are Canadians </w:t>
      </w:r>
      <w:r w:rsidR="009D06E0" w:rsidRPr="000E2B63">
        <w:rPr>
          <w:rFonts w:ascii="Times New Roman" w:hAnsi="Times New Roman" w:cs="Times New Roman"/>
          <w:sz w:val="24"/>
          <w:szCs w:val="24"/>
        </w:rPr>
        <w:t>who died before 1947</w:t>
      </w:r>
      <w:r w:rsidR="001A239D">
        <w:rPr>
          <w:rFonts w:ascii="Times New Roman" w:hAnsi="Times New Roman" w:cs="Times New Roman"/>
          <w:sz w:val="24"/>
          <w:szCs w:val="24"/>
        </w:rPr>
        <w:t>—</w:t>
      </w:r>
      <w:r w:rsidR="00CA04A4">
        <w:rPr>
          <w:rFonts w:ascii="Times New Roman" w:hAnsi="Times New Roman" w:cs="Times New Roman"/>
          <w:sz w:val="24"/>
          <w:szCs w:val="24"/>
        </w:rPr>
        <w:t xml:space="preserve">which include </w:t>
      </w:r>
      <w:r w:rsidR="009D06E0" w:rsidRPr="000E2B63">
        <w:rPr>
          <w:rFonts w:ascii="Times New Roman" w:hAnsi="Times New Roman" w:cs="Times New Roman"/>
          <w:sz w:val="24"/>
          <w:szCs w:val="24"/>
        </w:rPr>
        <w:t xml:space="preserve">111,000 </w:t>
      </w:r>
      <w:r w:rsidR="001A239D">
        <w:rPr>
          <w:rFonts w:ascii="Times New Roman" w:hAnsi="Times New Roman" w:cs="Times New Roman"/>
          <w:sz w:val="24"/>
          <w:szCs w:val="24"/>
        </w:rPr>
        <w:t>war dead</w:t>
      </w:r>
      <w:r w:rsidR="009D06E0" w:rsidRPr="000E2B63">
        <w:rPr>
          <w:rFonts w:ascii="Times New Roman" w:hAnsi="Times New Roman" w:cs="Times New Roman"/>
          <w:sz w:val="24"/>
          <w:szCs w:val="24"/>
        </w:rPr>
        <w:t xml:space="preserve">. </w:t>
      </w:r>
      <w:r w:rsidR="000E2B63" w:rsidRPr="000E2B63">
        <w:rPr>
          <w:rFonts w:ascii="Times New Roman" w:hAnsi="Times New Roman" w:cs="Times New Roman"/>
          <w:sz w:val="24"/>
          <w:szCs w:val="24"/>
        </w:rPr>
        <w:t xml:space="preserve">Indigenous, </w:t>
      </w:r>
      <w:r w:rsidR="009D06E0" w:rsidRPr="000E2B63">
        <w:rPr>
          <w:rFonts w:ascii="Times New Roman" w:hAnsi="Times New Roman" w:cs="Times New Roman"/>
          <w:sz w:val="24"/>
          <w:szCs w:val="24"/>
        </w:rPr>
        <w:t xml:space="preserve">Chinese and Japanese Canadians all deserve to be </w:t>
      </w:r>
      <w:r w:rsidR="00CA04A4">
        <w:rPr>
          <w:rFonts w:ascii="Times New Roman" w:hAnsi="Times New Roman" w:cs="Times New Roman"/>
          <w:sz w:val="24"/>
          <w:szCs w:val="24"/>
        </w:rPr>
        <w:t>r</w:t>
      </w:r>
      <w:r w:rsidR="009D06E0" w:rsidRPr="000E2B63">
        <w:rPr>
          <w:rFonts w:ascii="Times New Roman" w:hAnsi="Times New Roman" w:cs="Times New Roman"/>
          <w:sz w:val="24"/>
          <w:szCs w:val="24"/>
        </w:rPr>
        <w:t>ecognized as having been the citizens they were.</w:t>
      </w:r>
    </w:p>
    <w:p w14:paraId="441869CC" w14:textId="637422EA" w:rsidR="009D06E0" w:rsidRDefault="003D6BC2" w:rsidP="009D06E0">
      <w:pPr>
        <w:pStyle w:val="ListParagraph"/>
        <w:numPr>
          <w:ilvl w:val="0"/>
          <w:numId w:val="1"/>
        </w:numPr>
        <w:spacing w:after="120"/>
        <w:rPr>
          <w:rFonts w:ascii="Times New Roman" w:hAnsi="Times New Roman" w:cs="Times New Roman"/>
          <w:sz w:val="24"/>
          <w:szCs w:val="24"/>
        </w:rPr>
      </w:pPr>
      <w:r w:rsidRPr="009D06E0">
        <w:rPr>
          <w:rFonts w:ascii="Times New Roman" w:hAnsi="Times New Roman" w:cs="Times New Roman"/>
          <w:b/>
          <w:bCs/>
          <w:sz w:val="24"/>
          <w:szCs w:val="24"/>
        </w:rPr>
        <w:t>Honour of Canada</w:t>
      </w:r>
      <w:r w:rsidRPr="009D06E0">
        <w:rPr>
          <w:rFonts w:ascii="Times New Roman" w:hAnsi="Times New Roman" w:cs="Times New Roman"/>
          <w:sz w:val="24"/>
          <w:szCs w:val="24"/>
        </w:rPr>
        <w:t xml:space="preserve"> </w:t>
      </w:r>
      <w:r w:rsidRPr="009D06E0">
        <w:rPr>
          <w:rFonts w:ascii="Times New Roman" w:hAnsi="Times New Roman" w:cs="Times New Roman"/>
          <w:b/>
          <w:bCs/>
          <w:sz w:val="24"/>
          <w:szCs w:val="24"/>
        </w:rPr>
        <w:t xml:space="preserve">matters. </w:t>
      </w:r>
      <w:r w:rsidR="00F70934" w:rsidRPr="00F70934">
        <w:rPr>
          <w:rFonts w:ascii="Times New Roman" w:hAnsi="Times New Roman" w:cs="Times New Roman"/>
          <w:sz w:val="24"/>
          <w:szCs w:val="24"/>
        </w:rPr>
        <w:t>Legal continuity</w:t>
      </w:r>
      <w:r w:rsidR="00F70934">
        <w:rPr>
          <w:rFonts w:ascii="Times New Roman" w:hAnsi="Times New Roman" w:cs="Times New Roman"/>
          <w:b/>
          <w:bCs/>
          <w:sz w:val="24"/>
          <w:szCs w:val="24"/>
        </w:rPr>
        <w:t xml:space="preserve"> </w:t>
      </w:r>
      <w:r w:rsidR="009D06E0" w:rsidRPr="009D06E0">
        <w:rPr>
          <w:rFonts w:ascii="Times New Roman" w:hAnsi="Times New Roman" w:cs="Times New Roman"/>
          <w:sz w:val="24"/>
          <w:szCs w:val="24"/>
        </w:rPr>
        <w:t xml:space="preserve">matters—both </w:t>
      </w:r>
      <w:r w:rsidR="00F70934">
        <w:rPr>
          <w:rFonts w:ascii="Times New Roman" w:hAnsi="Times New Roman" w:cs="Times New Roman"/>
          <w:sz w:val="24"/>
          <w:szCs w:val="24"/>
        </w:rPr>
        <w:t xml:space="preserve">in </w:t>
      </w:r>
      <w:r w:rsidR="009D06E0" w:rsidRPr="009D06E0">
        <w:rPr>
          <w:rFonts w:ascii="Times New Roman" w:hAnsi="Times New Roman" w:cs="Times New Roman"/>
          <w:sz w:val="24"/>
          <w:szCs w:val="24"/>
        </w:rPr>
        <w:t>common</w:t>
      </w:r>
      <w:r w:rsidR="00F70934">
        <w:rPr>
          <w:rFonts w:ascii="Times New Roman" w:hAnsi="Times New Roman" w:cs="Times New Roman"/>
          <w:sz w:val="24"/>
          <w:szCs w:val="24"/>
        </w:rPr>
        <w:t xml:space="preserve"> </w:t>
      </w:r>
      <w:r w:rsidR="009D06E0" w:rsidRPr="009D06E0">
        <w:rPr>
          <w:rFonts w:ascii="Times New Roman" w:hAnsi="Times New Roman" w:cs="Times New Roman"/>
          <w:sz w:val="24"/>
          <w:szCs w:val="24"/>
        </w:rPr>
        <w:t>and civil</w:t>
      </w:r>
      <w:r w:rsidR="00F70934">
        <w:rPr>
          <w:rFonts w:ascii="Times New Roman" w:hAnsi="Times New Roman" w:cs="Times New Roman"/>
          <w:sz w:val="24"/>
          <w:szCs w:val="24"/>
        </w:rPr>
        <w:t xml:space="preserve"> law.</w:t>
      </w:r>
      <w:r w:rsidR="009D06E0" w:rsidRPr="009D06E0">
        <w:rPr>
          <w:rFonts w:ascii="Times New Roman" w:hAnsi="Times New Roman" w:cs="Times New Roman"/>
          <w:sz w:val="24"/>
          <w:szCs w:val="24"/>
        </w:rPr>
        <w:t xml:space="preserve"> </w:t>
      </w:r>
    </w:p>
    <w:p w14:paraId="02E61814" w14:textId="29107535" w:rsidR="002001C6" w:rsidRPr="002001C6" w:rsidRDefault="000E2B63" w:rsidP="002001C6">
      <w:pPr>
        <w:pStyle w:val="ListParagraph"/>
        <w:numPr>
          <w:ilvl w:val="0"/>
          <w:numId w:val="1"/>
        </w:numPr>
        <w:spacing w:after="60"/>
        <w:rPr>
          <w:rFonts w:ascii="Arial" w:hAnsi="Arial" w:cs="Arial"/>
          <w:color w:val="1E1E1E"/>
          <w:sz w:val="21"/>
          <w:szCs w:val="21"/>
        </w:rPr>
      </w:pPr>
      <w:r w:rsidRPr="002001C6">
        <w:rPr>
          <w:rFonts w:ascii="Times New Roman" w:hAnsi="Times New Roman" w:cs="Times New Roman"/>
          <w:b/>
          <w:bCs/>
          <w:sz w:val="24"/>
          <w:szCs w:val="24"/>
        </w:rPr>
        <w:t>If citizenship is a</w:t>
      </w:r>
      <w:r w:rsidRPr="00DF20A0">
        <w:rPr>
          <w:rFonts w:ascii="Times New Roman" w:hAnsi="Times New Roman" w:cs="Times New Roman"/>
          <w:sz w:val="24"/>
          <w:szCs w:val="24"/>
        </w:rPr>
        <w:t xml:space="preserve"> </w:t>
      </w:r>
      <w:r w:rsidRPr="00DF20A0">
        <w:rPr>
          <w:rFonts w:ascii="Times New Roman" w:hAnsi="Times New Roman" w:cs="Times New Roman"/>
          <w:b/>
          <w:bCs/>
          <w:sz w:val="24"/>
          <w:szCs w:val="24"/>
        </w:rPr>
        <w:t>creature of statute</w:t>
      </w:r>
      <w:r w:rsidRPr="00DF20A0">
        <w:rPr>
          <w:rFonts w:ascii="Times New Roman" w:hAnsi="Times New Roman" w:cs="Times New Roman"/>
          <w:sz w:val="24"/>
          <w:szCs w:val="24"/>
        </w:rPr>
        <w:t>, Parliament c</w:t>
      </w:r>
      <w:r w:rsidR="00F70934">
        <w:rPr>
          <w:rFonts w:ascii="Times New Roman" w:hAnsi="Times New Roman" w:cs="Times New Roman"/>
          <w:sz w:val="24"/>
          <w:szCs w:val="24"/>
        </w:rPr>
        <w:t>ould, in the future,</w:t>
      </w:r>
      <w:r w:rsidRPr="00DF20A0">
        <w:rPr>
          <w:rFonts w:ascii="Times New Roman" w:hAnsi="Times New Roman" w:cs="Times New Roman"/>
          <w:sz w:val="24"/>
          <w:szCs w:val="24"/>
        </w:rPr>
        <w:t xml:space="preserve"> withhold or revoke it. If it is </w:t>
      </w:r>
      <w:r w:rsidRPr="002001C6">
        <w:rPr>
          <w:rFonts w:ascii="Times New Roman" w:hAnsi="Times New Roman" w:cs="Times New Roman"/>
          <w:sz w:val="24"/>
          <w:szCs w:val="24"/>
        </w:rPr>
        <w:t>inherent</w:t>
      </w:r>
      <w:r w:rsidRPr="00DF20A0">
        <w:rPr>
          <w:rFonts w:ascii="Times New Roman" w:hAnsi="Times New Roman" w:cs="Times New Roman"/>
          <w:sz w:val="24"/>
          <w:szCs w:val="24"/>
        </w:rPr>
        <w:t>, it is a right, not a privilege.</w:t>
      </w:r>
      <w:r>
        <w:rPr>
          <w:rFonts w:ascii="Times New Roman" w:hAnsi="Times New Roman" w:cs="Times New Roman"/>
          <w:sz w:val="24"/>
          <w:szCs w:val="24"/>
        </w:rPr>
        <w:t xml:space="preserve"> </w:t>
      </w:r>
    </w:p>
    <w:p w14:paraId="7B2CE6F7" w14:textId="1B67644F" w:rsidR="002001C6" w:rsidRPr="002001C6" w:rsidRDefault="002001C6" w:rsidP="002001C6">
      <w:pPr>
        <w:pStyle w:val="ListParagraph"/>
        <w:numPr>
          <w:ilvl w:val="0"/>
          <w:numId w:val="1"/>
        </w:numPr>
        <w:spacing w:after="60"/>
        <w:rPr>
          <w:rFonts w:ascii="Times New Roman" w:hAnsi="Times New Roman" w:cs="Times New Roman"/>
          <w:sz w:val="24"/>
          <w:szCs w:val="24"/>
        </w:rPr>
      </w:pPr>
      <w:r w:rsidRPr="002001C6">
        <w:rPr>
          <w:rFonts w:ascii="Times New Roman" w:hAnsi="Times New Roman" w:cs="Times New Roman"/>
          <w:b/>
          <w:bCs/>
          <w:color w:val="000000"/>
          <w:sz w:val="24"/>
          <w:szCs w:val="24"/>
        </w:rPr>
        <w:t>Civil law reaches the same conclusion:</w:t>
      </w:r>
      <w:r>
        <w:rPr>
          <w:rFonts w:ascii="Times New Roman" w:hAnsi="Times New Roman" w:cs="Times New Roman"/>
          <w:color w:val="000000"/>
          <w:sz w:val="24"/>
          <w:szCs w:val="24"/>
        </w:rPr>
        <w:t xml:space="preserve"> </w:t>
      </w:r>
      <w:r w:rsidRPr="002001C6">
        <w:rPr>
          <w:rFonts w:ascii="Times New Roman" w:hAnsi="Times New Roman" w:cs="Times New Roman"/>
          <w:color w:val="000000"/>
          <w:sz w:val="24"/>
          <w:szCs w:val="24"/>
        </w:rPr>
        <w:t xml:space="preserve">The </w:t>
      </w:r>
      <w:r w:rsidRPr="002001C6">
        <w:rPr>
          <w:rFonts w:ascii="Times New Roman" w:hAnsi="Times New Roman" w:cs="Times New Roman"/>
          <w:i/>
          <w:iCs/>
          <w:color w:val="000000"/>
          <w:sz w:val="24"/>
          <w:szCs w:val="24"/>
        </w:rPr>
        <w:t>Federal Law-Civil Law Harmonization Act</w:t>
      </w:r>
      <w:r w:rsidRPr="002001C6">
        <w:rPr>
          <w:rFonts w:ascii="Times New Roman" w:hAnsi="Times New Roman" w:cs="Times New Roman"/>
          <w:color w:val="000000"/>
          <w:sz w:val="24"/>
          <w:szCs w:val="24"/>
        </w:rPr>
        <w:t xml:space="preserve"> obliges the federal government to respect both legal traditions in interpreting federal legislation. Under the civil law, citizenship is a status of public order (</w:t>
      </w:r>
      <w:proofErr w:type="spellStart"/>
      <w:r w:rsidRPr="002001C6">
        <w:rPr>
          <w:rFonts w:ascii="Times New Roman" w:hAnsi="Times New Roman" w:cs="Times New Roman"/>
          <w:i/>
          <w:iCs/>
          <w:color w:val="000000"/>
          <w:sz w:val="24"/>
          <w:szCs w:val="24"/>
        </w:rPr>
        <w:t>ordre</w:t>
      </w:r>
      <w:proofErr w:type="spellEnd"/>
      <w:r w:rsidRPr="002001C6">
        <w:rPr>
          <w:rFonts w:ascii="Times New Roman" w:hAnsi="Times New Roman" w:cs="Times New Roman"/>
          <w:i/>
          <w:iCs/>
          <w:color w:val="000000"/>
          <w:sz w:val="24"/>
          <w:szCs w:val="24"/>
        </w:rPr>
        <w:t xml:space="preserve"> public</w:t>
      </w:r>
      <w:r w:rsidRPr="002001C6">
        <w:rPr>
          <w:rFonts w:ascii="Times New Roman" w:hAnsi="Times New Roman" w:cs="Times New Roman"/>
          <w:color w:val="000000"/>
          <w:sz w:val="24"/>
          <w:szCs w:val="24"/>
        </w:rPr>
        <w:t>) — it cannot be waived, alienated, or lost by the passage of time. To dismiss the civil law as irrelevant to citizenship is to concede that Quebecers hold their citizenship on different terms than other Canadians.</w:t>
      </w:r>
    </w:p>
    <w:p w14:paraId="3BE34DA6" w14:textId="31E3E865" w:rsidR="009D06E0" w:rsidRPr="00F70934" w:rsidRDefault="009D06E0" w:rsidP="009D06E0">
      <w:pPr>
        <w:pStyle w:val="ListParagraph"/>
        <w:numPr>
          <w:ilvl w:val="0"/>
          <w:numId w:val="1"/>
        </w:numPr>
        <w:spacing w:after="120"/>
        <w:rPr>
          <w:rFonts w:ascii="Times New Roman" w:hAnsi="Times New Roman" w:cs="Times New Roman"/>
          <w:sz w:val="24"/>
          <w:szCs w:val="24"/>
        </w:rPr>
      </w:pPr>
      <w:r w:rsidRPr="00F70934">
        <w:rPr>
          <w:rFonts w:ascii="Times New Roman" w:hAnsi="Times New Roman" w:cs="Times New Roman"/>
          <w:b/>
          <w:bCs/>
          <w:sz w:val="24"/>
          <w:szCs w:val="24"/>
        </w:rPr>
        <w:t>Continuity is foundational to the rule of law</w:t>
      </w:r>
      <w:r w:rsidR="00F70934" w:rsidRPr="00F70934">
        <w:rPr>
          <w:rFonts w:ascii="Times New Roman" w:hAnsi="Times New Roman" w:cs="Times New Roman"/>
          <w:sz w:val="24"/>
          <w:szCs w:val="24"/>
        </w:rPr>
        <w:t xml:space="preserve">—both in common and civil law. </w:t>
      </w:r>
      <w:r w:rsidRPr="00F70934">
        <w:rPr>
          <w:rFonts w:ascii="Times New Roman" w:hAnsi="Times New Roman" w:cs="Times New Roman"/>
          <w:sz w:val="24"/>
          <w:szCs w:val="24"/>
        </w:rPr>
        <w:t>Without it, law ceases to be law and becomes mere command — whatever the government of the day says it is.</w:t>
      </w:r>
      <w:r w:rsidR="000E2B63" w:rsidRPr="00F70934">
        <w:rPr>
          <w:rFonts w:ascii="Times New Roman" w:hAnsi="Times New Roman" w:cs="Times New Roman"/>
          <w:sz w:val="24"/>
          <w:szCs w:val="24"/>
        </w:rPr>
        <w:t xml:space="preserve"> Citizenship must be affirmed as a right.</w:t>
      </w:r>
    </w:p>
    <w:p w14:paraId="519EB0F6" w14:textId="36FEB1AC" w:rsidR="003D6BC2" w:rsidRDefault="000E2B63" w:rsidP="003D6BC2">
      <w:pPr>
        <w:pStyle w:val="ListParagraph"/>
        <w:numPr>
          <w:ilvl w:val="0"/>
          <w:numId w:val="1"/>
        </w:numPr>
        <w:spacing w:after="60"/>
        <w:rPr>
          <w:rFonts w:ascii="Times New Roman" w:hAnsi="Times New Roman" w:cs="Times New Roman"/>
          <w:sz w:val="24"/>
          <w:szCs w:val="24"/>
        </w:rPr>
      </w:pPr>
      <w:r w:rsidRPr="000E2B63">
        <w:rPr>
          <w:rFonts w:ascii="Times New Roman" w:hAnsi="Times New Roman" w:cs="Times New Roman"/>
          <w:b/>
          <w:bCs/>
          <w:sz w:val="24"/>
          <w:szCs w:val="24"/>
        </w:rPr>
        <w:t>Past racism continues into the preset.</w:t>
      </w:r>
      <w:r>
        <w:rPr>
          <w:rFonts w:ascii="Times New Roman" w:hAnsi="Times New Roman" w:cs="Times New Roman"/>
          <w:sz w:val="24"/>
          <w:szCs w:val="24"/>
        </w:rPr>
        <w:t xml:space="preserve"> You as Parliamentarians, have the power to correct this.</w:t>
      </w:r>
    </w:p>
    <w:p w14:paraId="12D7293F" w14:textId="04D85F47" w:rsidR="000E2B63" w:rsidRPr="000E2B63" w:rsidRDefault="000E2B63" w:rsidP="000E2B63">
      <w:pPr>
        <w:pStyle w:val="ListParagraph"/>
        <w:numPr>
          <w:ilvl w:val="0"/>
          <w:numId w:val="1"/>
        </w:numPr>
        <w:spacing w:after="60"/>
        <w:rPr>
          <w:rFonts w:ascii="Times New Roman" w:hAnsi="Times New Roman" w:cs="Times New Roman"/>
          <w:sz w:val="24"/>
          <w:szCs w:val="24"/>
        </w:rPr>
      </w:pPr>
      <w:r>
        <w:rPr>
          <w:rFonts w:ascii="Times New Roman" w:hAnsi="Times New Roman" w:cs="Times New Roman"/>
          <w:b/>
          <w:bCs/>
          <w:sz w:val="24"/>
          <w:szCs w:val="24"/>
        </w:rPr>
        <w:t xml:space="preserve">Truth matters. </w:t>
      </w:r>
      <w:r w:rsidRPr="000E2B63">
        <w:rPr>
          <w:rFonts w:ascii="Times New Roman" w:hAnsi="Times New Roman" w:cs="Times New Roman"/>
          <w:sz w:val="24"/>
          <w:szCs w:val="24"/>
        </w:rPr>
        <w:t>Just look south to a country that embraces false narratives.</w:t>
      </w:r>
    </w:p>
    <w:p w14:paraId="27AFA678" w14:textId="77777777" w:rsidR="00BE22E7" w:rsidRPr="00D85C38" w:rsidRDefault="00000000">
      <w:pPr>
        <w:pStyle w:val="Heading2"/>
        <w:spacing w:before="300" w:after="150"/>
        <w:rPr>
          <w:rFonts w:ascii="Times New Roman" w:hAnsi="Times New Roman" w:cs="Times New Roman"/>
          <w:sz w:val="24"/>
          <w:szCs w:val="24"/>
        </w:rPr>
      </w:pPr>
      <w:r w:rsidRPr="00D85C38">
        <w:rPr>
          <w:rFonts w:ascii="Times New Roman" w:hAnsi="Times New Roman" w:cs="Times New Roman"/>
          <w:sz w:val="24"/>
          <w:szCs w:val="24"/>
        </w:rPr>
        <w:lastRenderedPageBreak/>
        <w:t>Recommendation</w:t>
      </w:r>
    </w:p>
    <w:p w14:paraId="1892102E" w14:textId="77777777" w:rsidR="00BE22E7" w:rsidRPr="00D85C38" w:rsidRDefault="00000000">
      <w:pPr>
        <w:spacing w:after="120"/>
      </w:pPr>
      <w:r w:rsidRPr="00D85C38">
        <w:t>Adopt a declaratory resolution recognizing that Canadian citizenship, and the legal rights associated with it, existed before January 1, 1947.</w:t>
      </w:r>
    </w:p>
    <w:p w14:paraId="36836C3C" w14:textId="3885DD02" w:rsidR="00BE22E7" w:rsidRPr="00D85C38" w:rsidRDefault="00000000">
      <w:pPr>
        <w:spacing w:after="120"/>
      </w:pPr>
      <w:r w:rsidRPr="00D85C38">
        <w:t xml:space="preserve">It changes no law. </w:t>
      </w:r>
      <w:r w:rsidR="002001C6">
        <w:t xml:space="preserve">It creates no derivative claims. </w:t>
      </w:r>
      <w:r w:rsidRPr="00D85C38">
        <w:t xml:space="preserve">It </w:t>
      </w:r>
      <w:r w:rsidR="002001C6">
        <w:t xml:space="preserve">simply </w:t>
      </w:r>
      <w:r w:rsidRPr="00D85C38">
        <w:t>declares the truth of what the law already was.</w:t>
      </w:r>
    </w:p>
    <w:p w14:paraId="6ADC0420" w14:textId="77777777" w:rsidR="00BE22E7" w:rsidRPr="00D85C38" w:rsidRDefault="00BE22E7">
      <w:pPr>
        <w:pBdr>
          <w:bottom w:val="single" w:sz="6" w:space="1" w:color="CCCCCC"/>
        </w:pBdr>
        <w:spacing w:before="120" w:after="120"/>
      </w:pPr>
    </w:p>
    <w:p w14:paraId="68C602D3" w14:textId="76F3A2B1" w:rsidR="00BE22E7" w:rsidRDefault="00BE22E7">
      <w:pPr>
        <w:spacing w:after="120"/>
      </w:pPr>
    </w:p>
    <w:p w14:paraId="51FF6036" w14:textId="77777777" w:rsidR="000E2B63" w:rsidRPr="00C02C6F" w:rsidRDefault="000E2B63" w:rsidP="000E2B63">
      <w:pPr>
        <w:autoSpaceDE w:val="0"/>
        <w:autoSpaceDN w:val="0"/>
        <w:adjustRightInd w:val="0"/>
        <w:spacing w:after="240"/>
        <w:jc w:val="center"/>
        <w:rPr>
          <w:b/>
          <w:bCs/>
          <w:sz w:val="27"/>
          <w:szCs w:val="27"/>
          <w:lang w:val="en-US"/>
        </w:rPr>
      </w:pPr>
      <w:r w:rsidRPr="00C02C6F">
        <w:rPr>
          <w:b/>
          <w:bCs/>
          <w:sz w:val="27"/>
          <w:szCs w:val="27"/>
          <w:lang w:val="en-US"/>
        </w:rPr>
        <w:t>STATUTORY DECLARATORY RESOLUTION</w:t>
      </w:r>
    </w:p>
    <w:p w14:paraId="4D1AE90F" w14:textId="77777777" w:rsidR="000E2B63" w:rsidRDefault="000E2B63" w:rsidP="000E2B63">
      <w:pPr>
        <w:pBdr>
          <w:bottom w:val="single" w:sz="12" w:space="1" w:color="auto"/>
        </w:pBdr>
        <w:spacing w:after="240"/>
        <w:jc w:val="center"/>
        <w:rPr>
          <w:b/>
          <w:bCs/>
          <w:lang w:val="en-US"/>
        </w:rPr>
      </w:pPr>
      <w:r w:rsidRPr="00C02C6F">
        <w:rPr>
          <w:b/>
          <w:bCs/>
          <w:lang w:val="en-US"/>
        </w:rPr>
        <w:t>PROPOSED FOR CONSIDERATION BY THE PARLIAMENT OF CANADA</w:t>
      </w:r>
    </w:p>
    <w:p w14:paraId="1C6BBE71" w14:textId="77777777" w:rsidR="000E2B63" w:rsidRPr="00C02C6F" w:rsidRDefault="000E2B63" w:rsidP="000E2B63">
      <w:pPr>
        <w:pBdr>
          <w:bottom w:val="single" w:sz="12" w:space="1" w:color="auto"/>
        </w:pBdr>
        <w:spacing w:after="240"/>
        <w:jc w:val="center"/>
        <w:rPr>
          <w:b/>
          <w:bCs/>
          <w:lang w:val="en-US"/>
        </w:rPr>
      </w:pPr>
    </w:p>
    <w:p w14:paraId="6C75AE4B" w14:textId="77777777" w:rsidR="000E2B63" w:rsidRDefault="000E2B63" w:rsidP="000E2B63">
      <w:pPr>
        <w:spacing w:after="240"/>
        <w:rPr>
          <w:b/>
          <w:bCs/>
          <w:color w:val="000000" w:themeColor="text1"/>
        </w:rPr>
      </w:pPr>
    </w:p>
    <w:p w14:paraId="79AC6AC1"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the Honour of the Crown requires fidelity to the promises made to those who served, suffered, and died under the Canadian flag;</w:t>
      </w:r>
    </w:p>
    <w:p w14:paraId="66886386"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the historical, legislative, administrative, and judicial records of Canada demonstrate that Canadian citizenship and nationality existed as a rights-bearing legal status within the Canadian body politic from the time of Confederation forward;</w:t>
      </w:r>
    </w:p>
    <w:p w14:paraId="195EFDCC"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the Supreme Court of Canada and the Attorney General of Canada have formally recognized that inhabitants of the Dominion held full citizenship within the Canadian Confederation as early as 1870;</w:t>
      </w:r>
    </w:p>
    <w:p w14:paraId="6C3B4716"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the state's own wartime executive orders, census enumerations, and official casualty records consistently affirmed that Canadian soldiers, war brides, and residents possessed a distinct Canadian citizenship prior to 1947;</w:t>
      </w:r>
    </w:p>
    <w:p w14:paraId="3922F7E0"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Parliament itself affirmed this understanding in the 1929 debate on Canadian nationality, and the Prime Minister acknowledged at the January 3, </w:t>
      </w:r>
      <w:proofErr w:type="gramStart"/>
      <w:r w:rsidRPr="00146A1F">
        <w:rPr>
          <w:color w:val="000000" w:themeColor="text1"/>
        </w:rPr>
        <w:t>1947</w:t>
      </w:r>
      <w:proofErr w:type="gramEnd"/>
      <w:r w:rsidRPr="00146A1F">
        <w:rPr>
          <w:color w:val="000000" w:themeColor="text1"/>
        </w:rPr>
        <w:t xml:space="preserve"> ceremony that many present had "enjoyed those rights all our lives";</w:t>
      </w:r>
    </w:p>
    <w:p w14:paraId="0D8C20F9" w14:textId="77777777" w:rsidR="000E2B63" w:rsidRPr="00146A1F" w:rsidRDefault="000E2B63" w:rsidP="000E2B63">
      <w:pPr>
        <w:spacing w:after="240"/>
        <w:rPr>
          <w:color w:val="000000" w:themeColor="text1"/>
        </w:rPr>
      </w:pPr>
      <w:r w:rsidRPr="00146A1F">
        <w:rPr>
          <w:b/>
          <w:bCs/>
          <w:color w:val="000000" w:themeColor="text1"/>
        </w:rPr>
        <w:t>WHEREAS</w:t>
      </w:r>
      <w:r w:rsidRPr="00146A1F">
        <w:rPr>
          <w:color w:val="000000" w:themeColor="text1"/>
        </w:rPr>
        <w:t xml:space="preserve"> the prevailing narrative that Canadian citizenship was created on January 1, </w:t>
      </w:r>
      <w:proofErr w:type="gramStart"/>
      <w:r w:rsidRPr="00146A1F">
        <w:rPr>
          <w:color w:val="000000" w:themeColor="text1"/>
        </w:rPr>
        <w:t>1947</w:t>
      </w:r>
      <w:proofErr w:type="gramEnd"/>
      <w:r w:rsidRPr="00146A1F">
        <w:rPr>
          <w:color w:val="000000" w:themeColor="text1"/>
        </w:rPr>
        <w:t xml:space="preserve"> has contributed to a mistaken public understanding of the status rightfully held by Canada's war dead, Chinese Canadians, Indigenous peoples, Japanese Canadians, and others;</w:t>
      </w:r>
    </w:p>
    <w:p w14:paraId="53D9A6B4" w14:textId="77777777" w:rsidR="000E2B63" w:rsidRPr="00146A1F" w:rsidRDefault="000E2B63" w:rsidP="000E2B63">
      <w:pPr>
        <w:spacing w:after="240"/>
        <w:jc w:val="center"/>
        <w:rPr>
          <w:color w:val="000000" w:themeColor="text1"/>
        </w:rPr>
      </w:pPr>
      <w:r w:rsidRPr="00146A1F">
        <w:rPr>
          <w:b/>
          <w:bCs/>
          <w:color w:val="000000" w:themeColor="text1"/>
        </w:rPr>
        <w:t>NOW THEREFORE, BE IT RESOLVED THAT PARLIAMENT DECLARE:</w:t>
      </w:r>
    </w:p>
    <w:p w14:paraId="5FDD34B6" w14:textId="77777777" w:rsidR="000E2B63" w:rsidRPr="00146A1F" w:rsidRDefault="000E2B63" w:rsidP="000E2B63">
      <w:pPr>
        <w:spacing w:after="240"/>
        <w:rPr>
          <w:color w:val="000000" w:themeColor="text1"/>
        </w:rPr>
      </w:pPr>
      <w:r w:rsidRPr="00146A1F">
        <w:rPr>
          <w:b/>
          <w:bCs/>
          <w:color w:val="000000" w:themeColor="text1"/>
        </w:rPr>
        <w:t>1.</w:t>
      </w:r>
      <w:r w:rsidRPr="00146A1F">
        <w:rPr>
          <w:color w:val="000000" w:themeColor="text1"/>
        </w:rPr>
        <w:t xml:space="preserve"> </w:t>
      </w:r>
      <w:r w:rsidRPr="00146A1F">
        <w:rPr>
          <w:b/>
          <w:bCs/>
          <w:color w:val="000000" w:themeColor="text1"/>
        </w:rPr>
        <w:t>That Canadian citizenship</w:t>
      </w:r>
      <w:r w:rsidRPr="00146A1F">
        <w:rPr>
          <w:color w:val="000000" w:themeColor="text1"/>
        </w:rPr>
        <w:t xml:space="preserve">, as an inherent right rooted in the constitutional architecture of Confederation, the common law of allegiance, and the civilian tradition, </w:t>
      </w:r>
      <w:r w:rsidRPr="00146A1F">
        <w:rPr>
          <w:b/>
          <w:bCs/>
          <w:color w:val="000000" w:themeColor="text1"/>
        </w:rPr>
        <w:t>existed prior to January 1, 1947</w:t>
      </w:r>
      <w:r w:rsidRPr="00146A1F">
        <w:rPr>
          <w:color w:val="000000" w:themeColor="text1"/>
        </w:rPr>
        <w:t>.</w:t>
      </w:r>
    </w:p>
    <w:p w14:paraId="443C047B" w14:textId="77777777" w:rsidR="000E2B63" w:rsidRPr="00146A1F" w:rsidRDefault="000E2B63" w:rsidP="000E2B63">
      <w:pPr>
        <w:spacing w:after="240"/>
        <w:rPr>
          <w:color w:val="000000" w:themeColor="text1"/>
        </w:rPr>
      </w:pPr>
      <w:r w:rsidRPr="00146A1F">
        <w:rPr>
          <w:b/>
          <w:bCs/>
          <w:color w:val="000000" w:themeColor="text1"/>
        </w:rPr>
        <w:t>2.</w:t>
      </w:r>
      <w:r w:rsidRPr="00146A1F">
        <w:rPr>
          <w:color w:val="000000" w:themeColor="text1"/>
        </w:rPr>
        <w:t xml:space="preserve"> </w:t>
      </w:r>
      <w:r w:rsidRPr="00146A1F">
        <w:rPr>
          <w:b/>
          <w:bCs/>
          <w:color w:val="000000" w:themeColor="text1"/>
        </w:rPr>
        <w:t>That the 111,000 Canadians</w:t>
      </w:r>
      <w:r w:rsidRPr="00146A1F">
        <w:rPr>
          <w:color w:val="000000" w:themeColor="text1"/>
        </w:rPr>
        <w:t xml:space="preserve"> who lost their lives in the service of Canada during the First and Second World Wars </w:t>
      </w:r>
      <w:r w:rsidRPr="00146A1F">
        <w:rPr>
          <w:b/>
          <w:bCs/>
          <w:color w:val="000000" w:themeColor="text1"/>
        </w:rPr>
        <w:t>fell as Canadian citizens</w:t>
      </w:r>
      <w:r w:rsidRPr="00146A1F">
        <w:rPr>
          <w:color w:val="000000" w:themeColor="text1"/>
        </w:rPr>
        <w:t xml:space="preserve"> and shall be so recognized in the official records of the Government of Canada.</w:t>
      </w:r>
    </w:p>
    <w:p w14:paraId="4D84BEC5" w14:textId="77777777" w:rsidR="000E2B63" w:rsidRPr="00146A1F" w:rsidRDefault="000E2B63" w:rsidP="000E2B63">
      <w:pPr>
        <w:spacing w:after="240"/>
        <w:rPr>
          <w:color w:val="000000" w:themeColor="text1"/>
        </w:rPr>
      </w:pPr>
      <w:r w:rsidRPr="00146A1F">
        <w:rPr>
          <w:b/>
          <w:bCs/>
          <w:color w:val="000000" w:themeColor="text1"/>
        </w:rPr>
        <w:lastRenderedPageBreak/>
        <w:t>3.</w:t>
      </w:r>
      <w:r w:rsidRPr="00146A1F">
        <w:rPr>
          <w:color w:val="000000" w:themeColor="text1"/>
        </w:rPr>
        <w:t xml:space="preserve"> </w:t>
      </w:r>
      <w:r w:rsidRPr="00146A1F">
        <w:rPr>
          <w:b/>
          <w:bCs/>
          <w:color w:val="000000" w:themeColor="text1"/>
        </w:rPr>
        <w:t>That all persons</w:t>
      </w:r>
      <w:r w:rsidRPr="00146A1F">
        <w:rPr>
          <w:color w:val="000000" w:themeColor="text1"/>
        </w:rPr>
        <w:t xml:space="preserve"> born or naturalized in Canada prior to January 1, 1947 — including Chinese Canadians, Japanese Canadians, and Indigenous peoples — shall be recognized as having </w:t>
      </w:r>
      <w:r w:rsidRPr="00146A1F">
        <w:rPr>
          <w:b/>
          <w:bCs/>
          <w:color w:val="000000" w:themeColor="text1"/>
        </w:rPr>
        <w:t>possessed Canadian citizenship from birth or naturalization</w:t>
      </w:r>
      <w:r w:rsidRPr="00146A1F">
        <w:rPr>
          <w:color w:val="000000" w:themeColor="text1"/>
        </w:rPr>
        <w:t>, and that any past administrative designations to the contrary were erroneous and contrary to law.</w:t>
      </w:r>
    </w:p>
    <w:p w14:paraId="78976E78" w14:textId="77777777" w:rsidR="000E2B63" w:rsidRPr="00146A1F" w:rsidRDefault="000E2B63" w:rsidP="000E2B63">
      <w:pPr>
        <w:spacing w:after="240"/>
        <w:rPr>
          <w:color w:val="000000" w:themeColor="text1"/>
        </w:rPr>
      </w:pPr>
      <w:r w:rsidRPr="00146A1F">
        <w:rPr>
          <w:b/>
          <w:bCs/>
          <w:color w:val="000000" w:themeColor="text1"/>
        </w:rPr>
        <w:t>4.</w:t>
      </w:r>
      <w:r w:rsidRPr="00146A1F">
        <w:rPr>
          <w:color w:val="000000" w:themeColor="text1"/>
        </w:rPr>
        <w:t xml:space="preserve"> </w:t>
      </w:r>
      <w:r w:rsidRPr="00146A1F">
        <w:rPr>
          <w:b/>
          <w:bCs/>
          <w:color w:val="000000" w:themeColor="text1"/>
        </w:rPr>
        <w:t xml:space="preserve">That </w:t>
      </w:r>
      <w:r w:rsidRPr="00146A1F">
        <w:rPr>
          <w:b/>
          <w:bCs/>
          <w:i/>
          <w:iCs/>
          <w:color w:val="000000" w:themeColor="text1"/>
        </w:rPr>
        <w:t xml:space="preserve">An Act </w:t>
      </w:r>
      <w:proofErr w:type="gramStart"/>
      <w:r w:rsidRPr="00146A1F">
        <w:rPr>
          <w:b/>
          <w:bCs/>
          <w:i/>
          <w:iCs/>
          <w:color w:val="000000" w:themeColor="text1"/>
        </w:rPr>
        <w:t>respecting</w:t>
      </w:r>
      <w:proofErr w:type="gramEnd"/>
      <w:r w:rsidRPr="00146A1F">
        <w:rPr>
          <w:b/>
          <w:bCs/>
          <w:i/>
          <w:iCs/>
          <w:color w:val="000000" w:themeColor="text1"/>
        </w:rPr>
        <w:t xml:space="preserve"> Citizenship, Nationality, Naturalization and Status of Aliens</w:t>
      </w:r>
      <w:r w:rsidRPr="00146A1F">
        <w:rPr>
          <w:b/>
          <w:bCs/>
          <w:color w:val="000000" w:themeColor="text1"/>
        </w:rPr>
        <w:t xml:space="preserve"> (S.C. 1946, c. 15)</w:t>
      </w:r>
      <w:r w:rsidRPr="00146A1F">
        <w:rPr>
          <w:color w:val="000000" w:themeColor="text1"/>
        </w:rPr>
        <w:t xml:space="preserve"> was a codification and consolidation of existing rights, and not the genesis of Canadian citizenship.</w:t>
      </w:r>
    </w:p>
    <w:p w14:paraId="1810A7BB" w14:textId="7559F5A7" w:rsidR="000E2B63" w:rsidRPr="00D85C38" w:rsidRDefault="000E2B63" w:rsidP="000E2B63">
      <w:pPr>
        <w:spacing w:after="240"/>
      </w:pPr>
      <w:r w:rsidRPr="00146A1F">
        <w:rPr>
          <w:b/>
          <w:bCs/>
          <w:color w:val="000000" w:themeColor="text1"/>
        </w:rPr>
        <w:t>BE IT FURTHER RESOLVED</w:t>
      </w:r>
      <w:r w:rsidRPr="00146A1F">
        <w:rPr>
          <w:color w:val="000000" w:themeColor="text1"/>
        </w:rPr>
        <w:t xml:space="preserve"> that this resolution be communicated to the Prime Minister, the Minister of Citizenship and Immigration, the Minister of Canadian Heritage, and the Attorney General of Canada, and that the Government consider how best to align official records, commemorative programs, and public education materials with the declarations herein.</w:t>
      </w:r>
    </w:p>
    <w:sectPr w:rsidR="000E2B63" w:rsidRPr="00D85C38">
      <w:footerReference w:type="even"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DF2234" w14:textId="77777777" w:rsidR="00046236" w:rsidRDefault="00046236" w:rsidP="000E2B63">
      <w:r>
        <w:separator/>
      </w:r>
    </w:p>
  </w:endnote>
  <w:endnote w:type="continuationSeparator" w:id="0">
    <w:p w14:paraId="79753557" w14:textId="77777777" w:rsidR="00046236" w:rsidRDefault="00046236" w:rsidP="000E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2081659"/>
      <w:docPartObj>
        <w:docPartGallery w:val="Page Numbers (Bottom of Page)"/>
        <w:docPartUnique/>
      </w:docPartObj>
    </w:sdtPr>
    <w:sdtContent>
      <w:p w14:paraId="66E35BB1" w14:textId="5D3B2135" w:rsidR="000E2B63" w:rsidRDefault="000E2B63" w:rsidP="00EA18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605681" w14:textId="77777777" w:rsidR="000E2B63" w:rsidRDefault="000E2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6097491"/>
      <w:docPartObj>
        <w:docPartGallery w:val="Page Numbers (Bottom of Page)"/>
        <w:docPartUnique/>
      </w:docPartObj>
    </w:sdtPr>
    <w:sdtContent>
      <w:p w14:paraId="0961BECC" w14:textId="4E2910A3" w:rsidR="000E2B63" w:rsidRDefault="000E2B63" w:rsidP="00EA18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1A0C97" w14:textId="77777777" w:rsidR="000E2B63" w:rsidRDefault="000E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D1CB2A" w14:textId="77777777" w:rsidR="00046236" w:rsidRDefault="00046236" w:rsidP="000E2B63">
      <w:r>
        <w:separator/>
      </w:r>
    </w:p>
  </w:footnote>
  <w:footnote w:type="continuationSeparator" w:id="0">
    <w:p w14:paraId="2605C335" w14:textId="77777777" w:rsidR="00046236" w:rsidRDefault="00046236" w:rsidP="000E2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4F6AA2"/>
    <w:multiLevelType w:val="hybridMultilevel"/>
    <w:tmpl w:val="50F676CC"/>
    <w:lvl w:ilvl="0" w:tplc="FF8A0E6E">
      <w:start w:val="1"/>
      <w:numFmt w:val="bullet"/>
      <w:lvlText w:val="●"/>
      <w:lvlJc w:val="left"/>
      <w:pPr>
        <w:ind w:left="720" w:hanging="360"/>
      </w:pPr>
    </w:lvl>
    <w:lvl w:ilvl="1" w:tplc="DE642FA0">
      <w:start w:val="1"/>
      <w:numFmt w:val="bullet"/>
      <w:lvlText w:val="○"/>
      <w:lvlJc w:val="left"/>
      <w:pPr>
        <w:ind w:left="1440" w:hanging="360"/>
      </w:pPr>
    </w:lvl>
    <w:lvl w:ilvl="2" w:tplc="56ECF532">
      <w:start w:val="1"/>
      <w:numFmt w:val="bullet"/>
      <w:lvlText w:val="■"/>
      <w:lvlJc w:val="left"/>
      <w:pPr>
        <w:ind w:left="2160" w:hanging="360"/>
      </w:pPr>
    </w:lvl>
    <w:lvl w:ilvl="3" w:tplc="41E66EAA">
      <w:start w:val="1"/>
      <w:numFmt w:val="bullet"/>
      <w:lvlText w:val="●"/>
      <w:lvlJc w:val="left"/>
      <w:pPr>
        <w:ind w:left="2880" w:hanging="360"/>
      </w:pPr>
    </w:lvl>
    <w:lvl w:ilvl="4" w:tplc="FEF4592A">
      <w:start w:val="1"/>
      <w:numFmt w:val="bullet"/>
      <w:lvlText w:val="○"/>
      <w:lvlJc w:val="left"/>
      <w:pPr>
        <w:ind w:left="3600" w:hanging="360"/>
      </w:pPr>
    </w:lvl>
    <w:lvl w:ilvl="5" w:tplc="11486E94">
      <w:start w:val="1"/>
      <w:numFmt w:val="bullet"/>
      <w:lvlText w:val="■"/>
      <w:lvlJc w:val="left"/>
      <w:pPr>
        <w:ind w:left="4320" w:hanging="360"/>
      </w:pPr>
    </w:lvl>
    <w:lvl w:ilvl="6" w:tplc="7B5E5656">
      <w:start w:val="1"/>
      <w:numFmt w:val="bullet"/>
      <w:lvlText w:val="●"/>
      <w:lvlJc w:val="left"/>
      <w:pPr>
        <w:ind w:left="5040" w:hanging="360"/>
      </w:pPr>
    </w:lvl>
    <w:lvl w:ilvl="7" w:tplc="A3BE1736">
      <w:start w:val="1"/>
      <w:numFmt w:val="bullet"/>
      <w:lvlText w:val="●"/>
      <w:lvlJc w:val="left"/>
      <w:pPr>
        <w:ind w:left="5760" w:hanging="360"/>
      </w:pPr>
    </w:lvl>
    <w:lvl w:ilvl="8" w:tplc="BBECFFAA">
      <w:start w:val="1"/>
      <w:numFmt w:val="bullet"/>
      <w:lvlText w:val="●"/>
      <w:lvlJc w:val="left"/>
      <w:pPr>
        <w:ind w:left="6480" w:hanging="360"/>
      </w:pPr>
    </w:lvl>
  </w:abstractNum>
  <w:abstractNum w:abstractNumId="1" w15:restartNumberingAfterBreak="0">
    <w:nsid w:val="2E2A3745"/>
    <w:multiLevelType w:val="multilevel"/>
    <w:tmpl w:val="040C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6F7310"/>
    <w:multiLevelType w:val="hybridMultilevel"/>
    <w:tmpl w:val="008E7FBC"/>
    <w:lvl w:ilvl="0" w:tplc="C7F0D0E8">
      <w:start w:val="1"/>
      <w:numFmt w:val="bullet"/>
      <w:lvlText w:val="●"/>
      <w:lvlJc w:val="left"/>
      <w:pPr>
        <w:ind w:left="720" w:hanging="360"/>
      </w:pPr>
    </w:lvl>
    <w:lvl w:ilvl="1" w:tplc="EA265C7E">
      <w:start w:val="1"/>
      <w:numFmt w:val="bullet"/>
      <w:lvlText w:val="○"/>
      <w:lvlJc w:val="left"/>
      <w:pPr>
        <w:ind w:left="1440" w:hanging="360"/>
      </w:pPr>
    </w:lvl>
    <w:lvl w:ilvl="2" w:tplc="A34AF5C2">
      <w:start w:val="1"/>
      <w:numFmt w:val="bullet"/>
      <w:lvlText w:val="■"/>
      <w:lvlJc w:val="left"/>
      <w:pPr>
        <w:ind w:left="2160" w:hanging="360"/>
      </w:pPr>
    </w:lvl>
    <w:lvl w:ilvl="3" w:tplc="9C2490E2">
      <w:start w:val="1"/>
      <w:numFmt w:val="bullet"/>
      <w:lvlText w:val="●"/>
      <w:lvlJc w:val="left"/>
      <w:pPr>
        <w:ind w:left="2880" w:hanging="360"/>
      </w:pPr>
    </w:lvl>
    <w:lvl w:ilvl="4" w:tplc="950A217C">
      <w:start w:val="1"/>
      <w:numFmt w:val="bullet"/>
      <w:lvlText w:val="○"/>
      <w:lvlJc w:val="left"/>
      <w:pPr>
        <w:ind w:left="3600" w:hanging="360"/>
      </w:pPr>
    </w:lvl>
    <w:lvl w:ilvl="5" w:tplc="0A187520">
      <w:start w:val="1"/>
      <w:numFmt w:val="bullet"/>
      <w:lvlText w:val="■"/>
      <w:lvlJc w:val="left"/>
      <w:pPr>
        <w:ind w:left="4320" w:hanging="360"/>
      </w:pPr>
    </w:lvl>
    <w:lvl w:ilvl="6" w:tplc="E3BAF8A0">
      <w:start w:val="1"/>
      <w:numFmt w:val="bullet"/>
      <w:lvlText w:val="●"/>
      <w:lvlJc w:val="left"/>
      <w:pPr>
        <w:ind w:left="5040" w:hanging="360"/>
      </w:pPr>
    </w:lvl>
    <w:lvl w:ilvl="7" w:tplc="D64240C6">
      <w:start w:val="1"/>
      <w:numFmt w:val="bullet"/>
      <w:lvlText w:val="●"/>
      <w:lvlJc w:val="left"/>
      <w:pPr>
        <w:ind w:left="5760" w:hanging="360"/>
      </w:pPr>
    </w:lvl>
    <w:lvl w:ilvl="8" w:tplc="681434EC">
      <w:start w:val="1"/>
      <w:numFmt w:val="bullet"/>
      <w:lvlText w:val="●"/>
      <w:lvlJc w:val="left"/>
      <w:pPr>
        <w:ind w:left="6480" w:hanging="360"/>
      </w:pPr>
    </w:lvl>
  </w:abstractNum>
  <w:abstractNum w:abstractNumId="3" w15:restartNumberingAfterBreak="0">
    <w:nsid w:val="55655506"/>
    <w:multiLevelType w:val="hybridMultilevel"/>
    <w:tmpl w:val="FE083FC0"/>
    <w:lvl w:ilvl="0" w:tplc="34F2A3EA">
      <w:start w:val="1"/>
      <w:numFmt w:val="decimal"/>
      <w:lvlText w:val="%1."/>
      <w:lvlJc w:val="left"/>
      <w:pPr>
        <w:ind w:left="720" w:hanging="360"/>
      </w:pPr>
    </w:lvl>
    <w:lvl w:ilvl="1" w:tplc="BD2AA446">
      <w:start w:val="1"/>
      <w:numFmt w:val="decimal"/>
      <w:lvlText w:val="%2."/>
      <w:lvlJc w:val="left"/>
      <w:pPr>
        <w:ind w:left="1440" w:hanging="360"/>
      </w:pPr>
    </w:lvl>
    <w:lvl w:ilvl="2" w:tplc="B006444E">
      <w:start w:val="1"/>
      <w:numFmt w:val="decimal"/>
      <w:lvlText w:val="%3."/>
      <w:lvlJc w:val="left"/>
      <w:pPr>
        <w:ind w:left="2160" w:hanging="360"/>
      </w:pPr>
    </w:lvl>
    <w:lvl w:ilvl="3" w:tplc="E0A48D1C">
      <w:start w:val="1"/>
      <w:numFmt w:val="decimal"/>
      <w:lvlText w:val="%4."/>
      <w:lvlJc w:val="left"/>
      <w:pPr>
        <w:ind w:left="2880" w:hanging="360"/>
      </w:pPr>
    </w:lvl>
    <w:lvl w:ilvl="4" w:tplc="F44A4784">
      <w:start w:val="1"/>
      <w:numFmt w:val="decimal"/>
      <w:lvlText w:val="%5."/>
      <w:lvlJc w:val="left"/>
      <w:pPr>
        <w:ind w:left="3600" w:hanging="360"/>
      </w:pPr>
    </w:lvl>
    <w:lvl w:ilvl="5" w:tplc="EEA4B424">
      <w:numFmt w:val="decimal"/>
      <w:lvlText w:val=""/>
      <w:lvlJc w:val="left"/>
    </w:lvl>
    <w:lvl w:ilvl="6" w:tplc="5D806398">
      <w:numFmt w:val="decimal"/>
      <w:lvlText w:val=""/>
      <w:lvlJc w:val="left"/>
    </w:lvl>
    <w:lvl w:ilvl="7" w:tplc="50E6E7F8">
      <w:numFmt w:val="decimal"/>
      <w:lvlText w:val=""/>
      <w:lvlJc w:val="left"/>
    </w:lvl>
    <w:lvl w:ilvl="8" w:tplc="A0D8F382">
      <w:numFmt w:val="decimal"/>
      <w:lvlText w:val=""/>
      <w:lvlJc w:val="left"/>
    </w:lvl>
  </w:abstractNum>
  <w:num w:numId="1" w16cid:durableId="1916355265">
    <w:abstractNumId w:val="0"/>
    <w:lvlOverride w:ilvl="0">
      <w:startOverride w:val="1"/>
    </w:lvlOverride>
  </w:num>
  <w:num w:numId="2" w16cid:durableId="1727222273">
    <w:abstractNumId w:val="3"/>
    <w:lvlOverride w:ilvl="0">
      <w:startOverride w:val="1"/>
    </w:lvlOverride>
  </w:num>
  <w:num w:numId="3" w16cid:durableId="1213497074">
    <w:abstractNumId w:val="2"/>
    <w:lvlOverride w:ilvl="0">
      <w:startOverride w:val="1"/>
    </w:lvlOverride>
  </w:num>
  <w:num w:numId="4" w16cid:durableId="9012570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E7"/>
    <w:rsid w:val="00046236"/>
    <w:rsid w:val="000E2B63"/>
    <w:rsid w:val="001A239D"/>
    <w:rsid w:val="002001C6"/>
    <w:rsid w:val="002452AF"/>
    <w:rsid w:val="003D6BC2"/>
    <w:rsid w:val="009D06E0"/>
    <w:rsid w:val="00B250FC"/>
    <w:rsid w:val="00BE22E7"/>
    <w:rsid w:val="00CA04A4"/>
    <w:rsid w:val="00CD5653"/>
    <w:rsid w:val="00D85C38"/>
    <w:rsid w:val="00E55BB4"/>
    <w:rsid w:val="00EC3F77"/>
    <w:rsid w:val="00ED35AF"/>
    <w:rsid w:val="00F40C9B"/>
    <w:rsid w:val="00F70934"/>
    <w:rsid w:val="00F76C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06F17D7"/>
  <w15:docId w15:val="{AD9453B6-CBBD-634B-9385-5DF0F094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1C6"/>
    <w:rPr>
      <w:rFonts w:ascii="Times New Roman" w:eastAsia="Times New Roman" w:hAnsi="Times New Roman" w:cs="Times New Roman"/>
      <w:sz w:val="24"/>
      <w:szCs w:val="24"/>
    </w:rPr>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Footer">
    <w:name w:val="footer"/>
    <w:basedOn w:val="Normal"/>
    <w:link w:val="FooterChar"/>
    <w:uiPriority w:val="99"/>
    <w:unhideWhenUsed/>
    <w:rsid w:val="000E2B63"/>
    <w:pPr>
      <w:tabs>
        <w:tab w:val="center" w:pos="4680"/>
        <w:tab w:val="right" w:pos="9360"/>
      </w:tabs>
    </w:pPr>
  </w:style>
  <w:style w:type="character" w:customStyle="1" w:styleId="FooterChar">
    <w:name w:val="Footer Char"/>
    <w:basedOn w:val="DefaultParagraphFont"/>
    <w:link w:val="Footer"/>
    <w:uiPriority w:val="99"/>
    <w:rsid w:val="000E2B63"/>
  </w:style>
  <w:style w:type="character" w:styleId="PageNumber">
    <w:name w:val="page number"/>
    <w:basedOn w:val="DefaultParagraphFont"/>
    <w:uiPriority w:val="99"/>
    <w:semiHidden/>
    <w:unhideWhenUsed/>
    <w:rsid w:val="000E2B63"/>
  </w:style>
  <w:style w:type="character" w:styleId="Strong">
    <w:name w:val="Strong"/>
    <w:basedOn w:val="DefaultParagraphFont"/>
    <w:uiPriority w:val="22"/>
    <w:qFormat/>
    <w:rsid w:val="002001C6"/>
    <w:rPr>
      <w:b/>
      <w:bCs/>
    </w:rPr>
  </w:style>
  <w:style w:type="character" w:customStyle="1" w:styleId="apple-converted-space">
    <w:name w:val="apple-converted-space"/>
    <w:basedOn w:val="DefaultParagraphFont"/>
    <w:rsid w:val="002001C6"/>
  </w:style>
  <w:style w:type="character" w:styleId="Emphasis">
    <w:name w:val="Emphasis"/>
    <w:basedOn w:val="DefaultParagraphFont"/>
    <w:uiPriority w:val="20"/>
    <w:qFormat/>
    <w:rsid w:val="002001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1173</Words>
  <Characters>6254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Don Chapman</cp:lastModifiedBy>
  <cp:revision>2</cp:revision>
  <dcterms:created xsi:type="dcterms:W3CDTF">2026-09-09T22:10:00Z</dcterms:created>
  <dcterms:modified xsi:type="dcterms:W3CDTF">2026-09-09T22:10:00Z</dcterms:modified>
</cp:coreProperties>
</file>